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CE5D" w14:textId="77777777" w:rsidR="007A7E45" w:rsidRPr="00FE4B89" w:rsidRDefault="007A7E45" w:rsidP="00FE4B89"/>
    <w:p w14:paraId="067C94EA" w14:textId="77777777" w:rsidR="00C00048" w:rsidRDefault="00296044">
      <w:pPr>
        <w:pStyle w:val="Heading1"/>
      </w:pPr>
      <w:r>
        <w:t>OBRAZLOŽENJE OPĆEG DIJELA FINANCIJSKOG PLANA</w:t>
      </w:r>
    </w:p>
    <w:p w14:paraId="7469814A" w14:textId="77777777" w:rsidR="00C00048" w:rsidRDefault="00296044">
      <w:pPr>
        <w:pStyle w:val="Heading2"/>
      </w:pPr>
      <w:r>
        <w:t>07775 Hrvatska agencija za malo gospodarstvo, inovacije i investicije, HAMAG-BICRO</w:t>
      </w:r>
    </w:p>
    <w:p w14:paraId="0E91DB23" w14:textId="77777777" w:rsidR="00C00048" w:rsidRDefault="00296044">
      <w:r>
        <w:t xml:space="preserve">RAČUN PRIHODA I RASHODA  </w:t>
      </w:r>
    </w:p>
    <w:p w14:paraId="0C908CE2" w14:textId="77777777" w:rsidR="00C00048" w:rsidRDefault="00296044">
      <w:r>
        <w:t xml:space="preserve">  </w:t>
      </w:r>
    </w:p>
    <w:p w14:paraId="2079724D" w14:textId="77777777" w:rsidR="00C00048" w:rsidRDefault="00296044">
      <w:r>
        <w:t xml:space="preserve">PRIHODI POSLOVANJA I PRIHODI OD PRODAJE NEFINANCIJSKE IMOVINE  </w:t>
      </w:r>
    </w:p>
    <w:p w14:paraId="6E22B04A" w14:textId="77777777" w:rsidR="00C00048" w:rsidRDefault="00296044">
      <w:r>
        <w:t xml:space="preserve">U 2026. godini HAMAG – BICRO planira prihode u iznosu  od 57.074.608,00 EUR. Povećanje prihoda najvećim dijelom se odnosi na novi način knjiženja prihoda po financijskim instrumentima. U strukturi ukupnih prihoda za 2026. najveći udio čine prihodi iz skupine 67 Prihodi iz proračuna u iznosu od 39.611.872,00 EUR od kojih su najznačajniji prihodi po izvoru 56 Fondovi EU u iznosu od 21.647.681,00 EUR. Najveći udio u Fondovima EU čini izvor 56311 Europski fond za regionalni razvoj - predfinanciranje iz izvora 11 Opći prihodi i primici u iznosu 21.210.524,00 EUR iz kojeg se financiraju aktivnosti kao što su „Europski centar za inovacije, napredne tehnologije i razvoj vještina (ECINTV)“ te zajmovi na aktivnosti „PKK 2021.-2027. - financijski instrumenti iz ESI fondova“, zatim iz izvora 58100 Mehanizam za oporavak i otpornost - bespovratna sredstva - raspoloživ predujam ili unaprijed naplaćen prihod u iznosu 6.034.600,00 EUR te izvora 11 Opć prihodi i primici u iznosu 8.792.579,00 EUR.   </w:t>
      </w:r>
    </w:p>
    <w:p w14:paraId="43D1E930" w14:textId="77777777" w:rsidR="00C00048" w:rsidRDefault="00296044">
      <w:r>
        <w:t xml:space="preserve">Za 2027. godinu prihodi su planirani u iznosu od 56.654.170,00 EUR što je smanjenje za 0,74 % u odnosu na 2026. godinu. Smanjenje se u najvećem dijelu odnosi na proračunske prihode vezane uz izvor sredstava 58100 Mehanizam za oporavak i otpornost - bespovratna sredstva - raspoloživ predujam ili unaprijed naplaćen prihod zbog završetka programskog razdoblja.  </w:t>
      </w:r>
    </w:p>
    <w:p w14:paraId="66EBBC43" w14:textId="77777777" w:rsidR="00C00048" w:rsidRDefault="00296044">
      <w:r>
        <w:t xml:space="preserve">U 2028. godini planirano je prihoda u iznosu od 50.361.453,00 EUR, što je smanjenje u odnosu na plan za 2027. godinu  za 11,11 %, jer će se dodijeljene alokacije za financijske instrumente iz izvor 56311 Europski fond za regionalni razvoj - predfinanciranje iz izvora 11 Opći prihodi i primici i 56511 Europski poljoprivredni fond za ruralni razvoj - predfinanciranje iz izvora 11 Opći prihodi i primici  utrošiti do kraja 2027. godine.  </w:t>
      </w:r>
    </w:p>
    <w:p w14:paraId="7CA250C5" w14:textId="77777777" w:rsidR="00C00048" w:rsidRDefault="00296044">
      <w:r>
        <w:t xml:space="preserve">  </w:t>
      </w:r>
    </w:p>
    <w:p w14:paraId="7A018E1F" w14:textId="77777777" w:rsidR="00C00048" w:rsidRDefault="00296044">
      <w:r>
        <w:t xml:space="preserve">RASHODI POSLOVANJA I RASHODI ZA NABAVU NEFINANCIJSKE IMOVINE  </w:t>
      </w:r>
    </w:p>
    <w:p w14:paraId="28B64582" w14:textId="77777777" w:rsidR="00C00048" w:rsidRDefault="00296044">
      <w:r>
        <w:t xml:space="preserve">Ukupni rashodi za 2026. godinu su planirani u iznosu od 52.556.116,00 EUR. Najveći udio rashoda pripada razredu 3 Rashodi poslovanja u iznosu 50.243.616,00 EUR što je udio od 95,60 % ukupnih rashoda. Rashodi za nabavu nefinancijske imovine planirani su za 2026. godinu u iznosu od 2.312.500,00 EUR.  </w:t>
      </w:r>
    </w:p>
    <w:p w14:paraId="739544A5" w14:textId="77777777" w:rsidR="00C00048" w:rsidRDefault="00296044">
      <w:r>
        <w:t xml:space="preserve">U strukturi rashoda poslovanja najveći udio čini skupina 35 Subvencije u iznosu od 19.014.950,00 EUR a iste se odnose na isplatu subvencija kroz različite projekte:  Jačanje akcelerakcijske aktivnosti, Interreg IPA CBC Program HR-BA-ME SPF;  Interreg IPA CBC Program IT-HR -SMEs Facility; Program prekog.surad. Hrvatska-Mađarska (B LIGHT), zatim skupina 38 Ostali rashodi u iznosu od 4.825.705,00 EUR, a ista se odnosi na isplatu aktiviranih jamstava, zatim skupina 31 Rashodi za zaposlene u iznosu 14.868.673,00 EUR. U skupini 31 najveći dio financiran je iz izvora 56311 Europski fond za regionalni razvoj - predfinanciranje iz izvora 11 Opći prihodi i primici -  64,93 % , dok se na izvor 11 Opći prihodi i primici odnosi 20,85%  </w:t>
      </w:r>
    </w:p>
    <w:p w14:paraId="40776587" w14:textId="77777777" w:rsidR="00C00048" w:rsidRDefault="00296044">
      <w:r>
        <w:t xml:space="preserve">Rashodi za nabavu nefinancijske imovine planirani su u 2026. godini u iznosu od 2.312.500,00 EUR, najvećim dijelom iz izvora 56 Fondovi EU u postotku od 58,14 %.   </w:t>
      </w:r>
    </w:p>
    <w:p w14:paraId="3F7EC1FC" w14:textId="77777777" w:rsidR="00C00048" w:rsidRDefault="00296044">
      <w:r>
        <w:t xml:space="preserve">Plan ukupnih rashoda za 2027. godinu iznosi 53.473.980,00 EUR, što je povećanje za za 1,75 % u odnosu na 2026. godinu. U 2028. godina planirano je 47.715.818,00 EUR ukupnih rashoda, što je smanjenje za 10,77 % u odnosu na 2027. godinu. Najveća  povećanja rashoda u 2027. godini odnose se na skupinu rashoda 38 Kapitalne pomoći trgovačkim društvima i obrtnicima po protestiranim jamstvima, a u 2028. godini na skupinu 35 Subvencije zbog završetka različitih aktivnosti vezane za Interregove programe  </w:t>
      </w:r>
    </w:p>
    <w:p w14:paraId="7CE4C77F" w14:textId="77777777" w:rsidR="00C00048" w:rsidRDefault="00296044">
      <w:r>
        <w:t xml:space="preserve">Razlika između ukupnih prihoda i ukupnih rashoda planiranih za 2026. godinu je 4.518.492,00 EUR, u 2027. godini za 3.180.190,00 EUR. Za 2028. godinu ta razlika iznosi 2.645.635,00 EUR. Viškom prihoda financirati će se izdaci za finacijsku imovinu i otplate zajmova.  </w:t>
      </w:r>
    </w:p>
    <w:p w14:paraId="6FC64301" w14:textId="77777777" w:rsidR="00C00048" w:rsidRDefault="00296044">
      <w:r>
        <w:t xml:space="preserve"> </w:t>
      </w:r>
    </w:p>
    <w:p w14:paraId="24055E8C" w14:textId="77777777" w:rsidR="00C00048" w:rsidRDefault="00296044">
      <w:r>
        <w:t xml:space="preserve">  </w:t>
      </w:r>
    </w:p>
    <w:p w14:paraId="7D08EAF6" w14:textId="77777777" w:rsidR="00C00048" w:rsidRDefault="00296044">
      <w:r>
        <w:t xml:space="preserve">RAČUN FINANCIRANJA  </w:t>
      </w:r>
    </w:p>
    <w:p w14:paraId="5A2AD1DB" w14:textId="77777777" w:rsidR="00C00048" w:rsidRDefault="00296044">
      <w:r>
        <w:lastRenderedPageBreak/>
        <w:t xml:space="preserve">Primici u 2026. godini iznose 148.209.549,00 EUR, u 2027. godini 80.604.550,00 EUR, a u 2028. godini  67.000.000,00 EUR. Planiranjem proračunskih primitaka u narednom trogodišnjem razdoblju uočljiva je tendencija pada primitaka jer se na određenim programima očekuje kraj provedbe krajem druge godine promatranog razdoblja  </w:t>
      </w:r>
    </w:p>
    <w:p w14:paraId="37C1AD61" w14:textId="77777777" w:rsidR="00C00048" w:rsidRDefault="00296044">
      <w:r>
        <w:t xml:space="preserve">Planirani izdaci u 2026. godinu iznose 126.158.648,00 EUR a najvećim dijelom se odnose na zajmove iz povrata te novih  zajmova iz OP KK 2021.-2027. - financijski instrumenti iz ESI fondova, Učinkoviti ljudski potencijali 2021.-2027., zajmovi iz  SP ZPP te zajmovi iz programa Ruralnog Razvoja. Provedba svih navedenih programa odnosi se na davanje zajmova trgovačkim društvima izvan javnog sektora, neprofitnim organizacijama i obrtnicima.  </w:t>
      </w:r>
    </w:p>
    <w:p w14:paraId="1C252E85" w14:textId="77777777" w:rsidR="00C00048" w:rsidRDefault="00296044">
      <w:r>
        <w:t xml:space="preserve">U strukturi izdataka za 2026. godinu najveći dio odnosi se na skupinu 51 Izdaci za dane zajmove i depozite u iznosu od 123.113.648,00 EUR. Najvećim dijelom izdaci će biti financirani iz izvora 56311 Europski fond za regionalni razvoj - predfinanciranje iz izvora 11 Opći prihodi i primici i 56511 Europski poljoprivredni fond za ruralni razvoj - predfinanciranje iz izvora 11 Opći prihodi i primici  u iznosu od 55.929.639,00 EUR odnosno  45,43 % te iz izvora 84 u  iznosu od 54.949.099,00 EUR što čini 44,63%.  </w:t>
      </w:r>
    </w:p>
    <w:p w14:paraId="59765458" w14:textId="77777777" w:rsidR="00C00048" w:rsidRDefault="00296044">
      <w:r>
        <w:t xml:space="preserve">Za 2027. godinu planirano je 80.604.550,00 EUR a za 2028. godinu  67.000.000,00 EUR izdataka što je značajno smanjenje zbog iskorištenja dodijeljene alokacije.  </w:t>
      </w:r>
    </w:p>
    <w:p w14:paraId="2B8E9E5E" w14:textId="77777777" w:rsidR="00C00048" w:rsidRDefault="00296044">
      <w:r>
        <w:t xml:space="preserve">Razlika između ukupnih primitaka i izdataka financirati će se iz viška prihoda poslovanja i donosa iz prethodnih godina.  </w:t>
      </w:r>
    </w:p>
    <w:p w14:paraId="195E534B" w14:textId="77777777" w:rsidR="00C00048" w:rsidRDefault="00296044">
      <w:r>
        <w:t xml:space="preserve">Financijski plan za 2026.-2028. godine sadrži i prijenos sredstava iz prethodne godine (donos) i prijenos sredstava u sljedeću godinu (odnos).  </w:t>
      </w:r>
    </w:p>
    <w:p w14:paraId="52AE213D" w14:textId="77777777" w:rsidR="00C00048" w:rsidRDefault="00296044">
      <w:r>
        <w:t xml:space="preserve"> </w:t>
      </w:r>
    </w:p>
    <w:p w14:paraId="7D3DF573" w14:textId="77777777" w:rsidR="00C00048" w:rsidRDefault="00296044">
      <w:r>
        <w:t xml:space="preserve">PRIJENOS SREDSTAVA IZ PRETHODNE U SLJEDEĆU GODINU  </w:t>
      </w:r>
    </w:p>
    <w:p w14:paraId="4CFE4A3E" w14:textId="77777777" w:rsidR="00C00048" w:rsidRDefault="00296044">
      <w:r>
        <w:t xml:space="preserve">Donos u 2026. godini, planiran je u ukupnom iznosu od 359.435.326,00 EUR, a u strukturi odnosi se na izvore 31 Vlastiti prihodi – 697.440,00 EUR, izvor 84 Namjenski primici od povrata danih zajmova – 358.336.293,00 EUR i izvor 51000 Programi Unije - raspoloživ predujam - 401.593,00 EUR.  </w:t>
      </w:r>
    </w:p>
    <w:p w14:paraId="527303F7" w14:textId="77777777" w:rsidR="00C00048" w:rsidRDefault="00296044">
      <w:r>
        <w:t xml:space="preserve">Odnos u 2026. godini planiran je u iznosu 386.004.719,00 EUR. </w:t>
      </w:r>
    </w:p>
    <w:p w14:paraId="216BF399" w14:textId="77777777" w:rsidR="00C00048" w:rsidRDefault="00296044">
      <w:r>
        <w:t xml:space="preserve">Donos u 2027. godinu planiran je u ukupnom iznosu od 386.004.719,00 EUR. U svojoj strukturi sadrži izvore 31 Vlastiti prihodi – 594.440,00 EUR i izvor 84 Namjenski primici od povrata danih zajmova – 385.104.486,00 EUR i izvor 51000 Programi Unije - raspoloživ predujam – 305.793,00 EUR. </w:t>
      </w:r>
    </w:p>
    <w:p w14:paraId="456CF864" w14:textId="77777777" w:rsidR="00C00048" w:rsidRDefault="00296044">
      <w:r>
        <w:t xml:space="preserve">Odnos u 2027. godini planiran je u iznosu 392.071.909,00 EUR. </w:t>
      </w:r>
    </w:p>
    <w:p w14:paraId="0081FCEF" w14:textId="77777777" w:rsidR="00C00048" w:rsidRDefault="00296044">
      <w:r>
        <w:t xml:space="preserve">Donos u 2028. godinu planiran je u iznosu od 392.071.909,00 EUR, a odnos iz 2028. godine iznosi 412.604.544,00 EUR. Struktura donosa u 2028. godini odnosi se na izvor 31 Vlastiti prihodi u iznosu od 499.940,00 EUR i izvor 84 Namjenski primici od povrata danih zajmova planiran je donos u iznosu 391.361.976,00 EUR i izvor 51000 Programi Unije - raspoloživ predujam u iznosu 209.993,00 EUR.  </w:t>
      </w:r>
    </w:p>
    <w:p w14:paraId="15D0FFD2" w14:textId="77777777" w:rsidR="00C00048" w:rsidRDefault="00296044">
      <w:r>
        <w:t xml:space="preserve">Odnos za 2028. godinu je suma iznosa iz izvora 31 Vlastiti prihodi – 405.440,00 EUR, izvor 84 – 412.084.911,00 EUR i izvor 51000 Programi Unije - raspoloživ predujam – 114.193,00 EUR, što je ukupno 412.604.544,00 EUR. </w:t>
      </w:r>
    </w:p>
    <w:p w14:paraId="0DF2C81A" w14:textId="77777777" w:rsidR="00C00048" w:rsidRDefault="00296044">
      <w:r>
        <w:t xml:space="preserve">Donos odnosno odnos iz izvora 84 Namjenski primici od povrata danih zajmova značajno ovisi o dinamici povrata glavnica danih zajmova te se isti koristi za novi program Nacionalni zajmovi za investicije i obrtna sredstva. </w:t>
      </w:r>
    </w:p>
    <w:p w14:paraId="35F33DE3" w14:textId="77777777" w:rsidR="00C00048" w:rsidRDefault="00296044">
      <w:r>
        <w:t xml:space="preserve"> </w:t>
      </w:r>
    </w:p>
    <w:p w14:paraId="4F9A04A5" w14:textId="77777777" w:rsidR="00C00048" w:rsidRDefault="00296044">
      <w:r>
        <w:t xml:space="preserve">UKUPNE I DOSPJELE OBVEZE  </w:t>
      </w:r>
    </w:p>
    <w:p w14:paraId="62B1018F" w14:textId="282A3330" w:rsidR="00C00048" w:rsidRDefault="00296044">
      <w:r>
        <w:t>Stanje obveza na dan 31.12.2024. iznosi 560.934.693,47 EUR od čega su dospjele obveze</w:t>
      </w:r>
      <w:r w:rsidR="0063563B">
        <w:t xml:space="preserve"> </w:t>
      </w:r>
      <w:r>
        <w:t xml:space="preserve">0,00 EUR. </w:t>
      </w:r>
    </w:p>
    <w:p w14:paraId="3B95C010" w14:textId="77777777" w:rsidR="00C00048" w:rsidRDefault="00296044">
      <w:r>
        <w:t xml:space="preserve">Stanje obveza na dan 30.06.2025. iznosi 589.122.412,39 EUR od čega su dospjele 0,00 EUR. </w:t>
      </w:r>
    </w:p>
    <w:p w14:paraId="7AF5FBFA" w14:textId="77777777" w:rsidR="00C00048" w:rsidRDefault="00296044">
      <w:r>
        <w:t xml:space="preserve"> </w:t>
      </w:r>
    </w:p>
    <w:p w14:paraId="49D0A1AD" w14:textId="77777777" w:rsidR="00C00048" w:rsidRDefault="00296044">
      <w:r>
        <w:t>Od obveza najznačajnije su obveze za financijsku imovinu koje iznose 539.872.500,21 EUR, a iste se odnose na Financijske instumente.</w:t>
      </w:r>
    </w:p>
    <w:sectPr w:rsidR="00C00048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A52A" w14:textId="77777777" w:rsidR="00C40FD3" w:rsidRDefault="00C40FD3" w:rsidP="00F352E6">
      <w:r>
        <w:separator/>
      </w:r>
    </w:p>
  </w:endnote>
  <w:endnote w:type="continuationSeparator" w:id="0">
    <w:p w14:paraId="2C45C079" w14:textId="77777777" w:rsidR="00C40FD3" w:rsidRDefault="00C40FD3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50D3" w14:textId="77777777" w:rsidR="00AB347A" w:rsidRPr="00D769ED" w:rsidRDefault="00AB347A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419F" w14:textId="77777777" w:rsidR="00C40FD3" w:rsidRDefault="00C40FD3" w:rsidP="00F352E6">
      <w:r>
        <w:separator/>
      </w:r>
    </w:p>
  </w:footnote>
  <w:footnote w:type="continuationSeparator" w:id="0">
    <w:p w14:paraId="6C45C36B" w14:textId="77777777" w:rsidR="00C40FD3" w:rsidRDefault="00C40FD3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87D5" w14:textId="77777777" w:rsidR="00AB347A" w:rsidRDefault="00AB347A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296044"/>
    <w:rsid w:val="00311AA1"/>
    <w:rsid w:val="00382225"/>
    <w:rsid w:val="00386953"/>
    <w:rsid w:val="00463609"/>
    <w:rsid w:val="00480C76"/>
    <w:rsid w:val="004B2878"/>
    <w:rsid w:val="004C01B5"/>
    <w:rsid w:val="0052289C"/>
    <w:rsid w:val="00524A66"/>
    <w:rsid w:val="00526A7C"/>
    <w:rsid w:val="005A70C0"/>
    <w:rsid w:val="005B6ED7"/>
    <w:rsid w:val="005E2D85"/>
    <w:rsid w:val="00633683"/>
    <w:rsid w:val="0063563B"/>
    <w:rsid w:val="00674346"/>
    <w:rsid w:val="006A7CFD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8B6F77"/>
    <w:rsid w:val="009359F2"/>
    <w:rsid w:val="0094382E"/>
    <w:rsid w:val="00951B1A"/>
    <w:rsid w:val="009E33D3"/>
    <w:rsid w:val="00A021A2"/>
    <w:rsid w:val="00A320E5"/>
    <w:rsid w:val="00A70582"/>
    <w:rsid w:val="00AB347A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00048"/>
    <w:rsid w:val="00C40FD3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556D1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Željka Badrov</cp:lastModifiedBy>
  <cp:revision>3</cp:revision>
  <dcterms:created xsi:type="dcterms:W3CDTF">2026-01-12T07:56:00Z</dcterms:created>
  <dcterms:modified xsi:type="dcterms:W3CDTF">2026-01-12T08:05:00Z</dcterms:modified>
</cp:coreProperties>
</file>