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13A7" w14:textId="5739B50F" w:rsidR="001E4E5F" w:rsidRPr="001F3370" w:rsidRDefault="00B347C4" w:rsidP="0050434B">
      <w:pPr>
        <w:spacing w:after="120" w:line="360" w:lineRule="auto"/>
        <w:contextualSpacing/>
        <w:jc w:val="center"/>
        <w:rPr>
          <w:rFonts w:ascii="Times New Roman" w:eastAsia="Batang" w:hAnsi="Times New Roman" w:cs="Times New Roman"/>
          <w:b/>
          <w:sz w:val="24"/>
          <w:szCs w:val="24"/>
          <w:lang w:eastAsia="hr-HR"/>
        </w:rPr>
      </w:pPr>
      <w:r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OBVEZNI SADRŽAJ UGOVORA O KREDITU</w:t>
      </w:r>
      <w:r w:rsidR="005111CB"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 xml:space="preserve"> – </w:t>
      </w:r>
      <w:r w:rsidR="00100C06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„</w:t>
      </w:r>
      <w:r w:rsidR="005111CB"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 xml:space="preserve">EFRR </w:t>
      </w:r>
      <w:r w:rsidR="00E60A08"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Portfeljn</w:t>
      </w:r>
      <w:r w:rsidR="00E60A08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a</w:t>
      </w:r>
      <w:r w:rsidR="00E60A08"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 xml:space="preserve"> </w:t>
      </w:r>
      <w:r w:rsidR="005111CB"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jamstv</w:t>
      </w:r>
      <w:r w:rsidR="00100C06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a“</w:t>
      </w:r>
    </w:p>
    <w:p w14:paraId="33B10A1C" w14:textId="77777777" w:rsidR="00B347C4" w:rsidRDefault="00B347C4" w:rsidP="00BF71B6">
      <w:pPr>
        <w:spacing w:after="120" w:line="360" w:lineRule="auto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  <w:lang w:eastAsia="hr-HR"/>
        </w:rPr>
      </w:pPr>
    </w:p>
    <w:p w14:paraId="2D0CE46E" w14:textId="3AED10FA" w:rsidR="00FE02C3" w:rsidRPr="00A83919" w:rsidRDefault="00FE02C3" w:rsidP="00BF71B6">
      <w:pPr>
        <w:spacing w:after="120" w:line="360" w:lineRule="auto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  <w:lang w:eastAsia="hr-HR"/>
        </w:rPr>
      </w:pPr>
      <w:r w:rsidRPr="00A83919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Uvodni dio</w:t>
      </w:r>
    </w:p>
    <w:p w14:paraId="62A4260D" w14:textId="1A103453" w:rsidR="001F5C89" w:rsidRPr="00F81101" w:rsidRDefault="00943E5D" w:rsidP="004F7849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620484"/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bookmarkEnd w:id="0"/>
      <w:r w:rsidR="004F7849" w:rsidRPr="00A83919">
        <w:rPr>
          <w:rFonts w:ascii="Times New Roman" w:hAnsi="Times New Roman" w:cs="Times New Roman"/>
          <w:sz w:val="24"/>
          <w:szCs w:val="24"/>
        </w:rPr>
        <w:t>Krajnji primatelj</w:t>
      </w:r>
      <w:r>
        <w:rPr>
          <w:rFonts w:ascii="Times New Roman" w:hAnsi="Times New Roman" w:cs="Times New Roman"/>
          <w:sz w:val="24"/>
          <w:szCs w:val="24"/>
        </w:rPr>
        <w:t xml:space="preserve"> jamstva</w:t>
      </w:r>
      <w:r w:rsidR="004F7849" w:rsidRPr="00A83919">
        <w:rPr>
          <w:rFonts w:ascii="Times New Roman" w:hAnsi="Times New Roman" w:cs="Times New Roman"/>
          <w:sz w:val="24"/>
          <w:szCs w:val="24"/>
        </w:rPr>
        <w:t xml:space="preserve"> je upoznat s time da je HAMAG-BICRO imenovan od strane Ministarstva regionalnog razvoja i </w:t>
      </w:r>
      <w:r w:rsidR="004F7849" w:rsidRPr="00F81101">
        <w:rPr>
          <w:rFonts w:ascii="Times New Roman" w:hAnsi="Times New Roman" w:cs="Times New Roman"/>
          <w:sz w:val="24"/>
          <w:szCs w:val="24"/>
        </w:rPr>
        <w:t>fondova Europske unije</w:t>
      </w:r>
      <w:r w:rsidR="00B347C4" w:rsidRPr="00F81101">
        <w:rPr>
          <w:rFonts w:ascii="Times New Roman" w:hAnsi="Times New Roman" w:cs="Times New Roman"/>
          <w:sz w:val="24"/>
          <w:szCs w:val="24"/>
        </w:rPr>
        <w:t xml:space="preserve"> (dalje: MRRFEU)</w:t>
      </w:r>
      <w:r w:rsidR="004F7849" w:rsidRPr="00F81101">
        <w:rPr>
          <w:rFonts w:ascii="Times New Roman" w:hAnsi="Times New Roman" w:cs="Times New Roman"/>
          <w:sz w:val="24"/>
          <w:szCs w:val="24"/>
        </w:rPr>
        <w:t xml:space="preserve">, </w:t>
      </w:r>
      <w:r w:rsidR="00F81101" w:rsidRPr="00F81101">
        <w:rPr>
          <w:rFonts w:ascii="Times New Roman" w:eastAsia="Calibri" w:hAnsi="Times New Roman" w:cs="Times New Roman"/>
          <w:sz w:val="24"/>
          <w:szCs w:val="24"/>
        </w:rPr>
        <w:t xml:space="preserve">kao Upravljačkog tijela (dalje: „UT“) za provedbu programa „Program Konkurentnost i kohezija” za razdoblje 2021.-2027. (dalje: PKK) financiranog iz EU fondova, imenovan kao tijelo koje provodi financijske instrumente izvršavajući zadaće posebnog fonda i to za provođenje </w:t>
      </w:r>
      <w:bookmarkStart w:id="1" w:name="_Hlk186456840"/>
      <w:r w:rsidR="00F81101" w:rsidRPr="00F81101">
        <w:rPr>
          <w:rFonts w:ascii="Times New Roman" w:eastAsia="Calibri" w:hAnsi="Times New Roman" w:cs="Times New Roman"/>
          <w:sz w:val="24"/>
          <w:szCs w:val="24"/>
        </w:rPr>
        <w:t>financijskog instrumenta</w:t>
      </w:r>
      <w:bookmarkEnd w:id="1"/>
      <w:r w:rsidR="00F81101" w:rsidRPr="00F81101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4F7849" w:rsidRPr="00F81101">
        <w:rPr>
          <w:rFonts w:ascii="Times New Roman" w:hAnsi="Times New Roman" w:cs="Times New Roman"/>
          <w:sz w:val="24"/>
          <w:szCs w:val="24"/>
        </w:rPr>
        <w:t xml:space="preserve"> </w:t>
      </w:r>
      <w:r w:rsidR="00B347C4" w:rsidRPr="00F81101">
        <w:rPr>
          <w:rFonts w:ascii="Times New Roman" w:hAnsi="Times New Roman" w:cs="Times New Roman"/>
          <w:sz w:val="24"/>
          <w:szCs w:val="24"/>
        </w:rPr>
        <w:t>„EFRR</w:t>
      </w:r>
      <w:r w:rsidR="004F7849" w:rsidRPr="00F81101">
        <w:rPr>
          <w:rFonts w:ascii="Times New Roman" w:hAnsi="Times New Roman" w:cs="Times New Roman"/>
          <w:sz w:val="24"/>
          <w:szCs w:val="24"/>
        </w:rPr>
        <w:t xml:space="preserve"> portfeljno jamstv</w:t>
      </w:r>
      <w:r w:rsidR="00B347C4" w:rsidRPr="00F81101">
        <w:rPr>
          <w:rFonts w:ascii="Times New Roman" w:hAnsi="Times New Roman" w:cs="Times New Roman"/>
          <w:sz w:val="24"/>
          <w:szCs w:val="24"/>
        </w:rPr>
        <w:t>o“</w:t>
      </w:r>
      <w:r w:rsidR="004F7849" w:rsidRPr="00F81101">
        <w:rPr>
          <w:rFonts w:ascii="Times New Roman" w:hAnsi="Times New Roman" w:cs="Times New Roman"/>
          <w:sz w:val="24"/>
          <w:szCs w:val="24"/>
        </w:rPr>
        <w:t>.</w:t>
      </w:r>
    </w:p>
    <w:p w14:paraId="4E54B59C" w14:textId="4AD32EAA" w:rsidR="004F7849" w:rsidRPr="002B2134" w:rsidRDefault="004F7849" w:rsidP="002B2134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Utvrđuje se da su </w:t>
      </w:r>
      <w:r w:rsidRPr="002B2134">
        <w:rPr>
          <w:rFonts w:ascii="Times New Roman" w:hAnsi="Times New Roman" w:cs="Times New Roman"/>
          <w:i/>
          <w:iCs/>
          <w:sz w:val="24"/>
          <w:szCs w:val="24"/>
        </w:rPr>
        <w:t>Naziv banke, Sjedište, OIB</w:t>
      </w:r>
      <w:r w:rsidRPr="00A83919">
        <w:rPr>
          <w:rFonts w:ascii="Times New Roman" w:hAnsi="Times New Roman" w:cs="Times New Roman"/>
          <w:sz w:val="24"/>
          <w:szCs w:val="24"/>
        </w:rPr>
        <w:t xml:space="preserve">: i HAMAG-BICRO dana  _________  sklopili </w:t>
      </w:r>
      <w:bookmarkStart w:id="2" w:name="_Hlk200974932"/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>Sporazum o poslovnoj suradnji za</w:t>
      </w:r>
      <w:r w:rsidR="002B2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>provedbu financijskog instrumenta</w:t>
      </w:r>
      <w:r w:rsidR="002B2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>„EFRR portfeljn</w:t>
      </w:r>
      <w:r w:rsidR="00100C0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 xml:space="preserve"> jamstv</w:t>
      </w:r>
      <w:r w:rsidR="00100C0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 xml:space="preserve">“ iz EU fondova </w:t>
      </w:r>
      <w:bookmarkEnd w:id="2"/>
      <w:r w:rsidRPr="002B2134">
        <w:rPr>
          <w:rFonts w:ascii="Times New Roman" w:hAnsi="Times New Roman" w:cs="Times New Roman"/>
          <w:sz w:val="24"/>
          <w:szCs w:val="24"/>
        </w:rPr>
        <w:t>(dalje: „Sporazum“).</w:t>
      </w:r>
    </w:p>
    <w:p w14:paraId="22C8094D" w14:textId="193F1527" w:rsidR="004F7849" w:rsidRPr="00A83919" w:rsidRDefault="004F7849" w:rsidP="002B2134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Utvrđuje se da je </w:t>
      </w:r>
      <w:r w:rsidR="002B2134" w:rsidRPr="002B2134">
        <w:rPr>
          <w:rFonts w:ascii="Times New Roman" w:hAnsi="Times New Roman" w:cs="Times New Roman"/>
          <w:sz w:val="24"/>
          <w:szCs w:val="24"/>
        </w:rPr>
        <w:t xml:space="preserve">EFRR portfeljno jamstvo </w:t>
      </w:r>
      <w:r w:rsidRPr="002B2134">
        <w:rPr>
          <w:rFonts w:ascii="Times New Roman" w:hAnsi="Times New Roman" w:cs="Times New Roman"/>
          <w:sz w:val="24"/>
          <w:szCs w:val="24"/>
        </w:rPr>
        <w:t>financijski</w:t>
      </w:r>
      <w:r w:rsidRPr="00A83919">
        <w:rPr>
          <w:rFonts w:ascii="Times New Roman" w:hAnsi="Times New Roman" w:cs="Times New Roman"/>
          <w:sz w:val="24"/>
          <w:szCs w:val="24"/>
        </w:rPr>
        <w:t xml:space="preserve"> instrument u smislu članka 2</w:t>
      </w:r>
      <w:r w:rsidR="002B2134">
        <w:rPr>
          <w:rFonts w:ascii="Times New Roman" w:hAnsi="Times New Roman" w:cs="Times New Roman"/>
          <w:sz w:val="24"/>
          <w:szCs w:val="24"/>
        </w:rPr>
        <w:t xml:space="preserve"> </w:t>
      </w:r>
      <w:r w:rsidRPr="00A83919">
        <w:rPr>
          <w:rFonts w:ascii="Times New Roman" w:hAnsi="Times New Roman" w:cs="Times New Roman"/>
          <w:sz w:val="24"/>
          <w:szCs w:val="24"/>
        </w:rPr>
        <w:t>(</w:t>
      </w:r>
      <w:r w:rsidR="002B2134">
        <w:rPr>
          <w:rFonts w:ascii="Times New Roman" w:hAnsi="Times New Roman" w:cs="Times New Roman"/>
          <w:sz w:val="24"/>
          <w:szCs w:val="24"/>
        </w:rPr>
        <w:t>toč. 30.</w:t>
      </w:r>
      <w:r w:rsidRPr="00A83919">
        <w:rPr>
          <w:rFonts w:ascii="Times New Roman" w:hAnsi="Times New Roman" w:cs="Times New Roman"/>
          <w:sz w:val="24"/>
          <w:szCs w:val="24"/>
        </w:rPr>
        <w:t xml:space="preserve">) Financijske Uredbe br. </w:t>
      </w:r>
      <w:r w:rsidR="00100C06">
        <w:rPr>
          <w:rFonts w:ascii="Times New Roman" w:hAnsi="Times New Roman" w:cs="Times New Roman"/>
          <w:sz w:val="24"/>
          <w:szCs w:val="24"/>
        </w:rPr>
        <w:t>2024</w:t>
      </w:r>
      <w:r w:rsidR="002B2134">
        <w:rPr>
          <w:rFonts w:ascii="Times New Roman" w:hAnsi="Times New Roman" w:cs="Times New Roman"/>
          <w:sz w:val="24"/>
          <w:szCs w:val="24"/>
        </w:rPr>
        <w:t>/2</w:t>
      </w:r>
      <w:r w:rsidR="00100C06">
        <w:rPr>
          <w:rFonts w:ascii="Times New Roman" w:hAnsi="Times New Roman" w:cs="Times New Roman"/>
          <w:sz w:val="24"/>
          <w:szCs w:val="24"/>
        </w:rPr>
        <w:t>509</w:t>
      </w:r>
      <w:r w:rsidRPr="00A83919">
        <w:rPr>
          <w:rFonts w:ascii="Times New Roman" w:hAnsi="Times New Roman" w:cs="Times New Roman"/>
          <w:sz w:val="24"/>
          <w:szCs w:val="24"/>
        </w:rPr>
        <w:t>.</w:t>
      </w:r>
    </w:p>
    <w:p w14:paraId="6F198A77" w14:textId="020EC231" w:rsidR="004F7849" w:rsidRPr="00A83919" w:rsidRDefault="004F7849" w:rsidP="002B2134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>Utvrđuje se da</w:t>
      </w:r>
      <w:r w:rsidR="00220224" w:rsidRPr="00A83919">
        <w:rPr>
          <w:rFonts w:ascii="Times New Roman" w:hAnsi="Times New Roman" w:cs="Times New Roman"/>
          <w:sz w:val="24"/>
          <w:szCs w:val="24"/>
        </w:rPr>
        <w:t xml:space="preserve"> je</w:t>
      </w:r>
      <w:r w:rsidRPr="00A83919">
        <w:rPr>
          <w:rFonts w:ascii="Times New Roman" w:hAnsi="Times New Roman" w:cs="Times New Roman"/>
          <w:sz w:val="24"/>
          <w:szCs w:val="24"/>
        </w:rPr>
        <w:t xml:space="preserve"> </w:t>
      </w:r>
      <w:r w:rsidR="002B2134" w:rsidRPr="002B2134">
        <w:rPr>
          <w:rFonts w:ascii="Times New Roman" w:hAnsi="Times New Roman" w:cs="Times New Roman"/>
          <w:sz w:val="24"/>
          <w:szCs w:val="24"/>
        </w:rPr>
        <w:t>EFRR portfeljno jamstvo</w:t>
      </w:r>
      <w:r w:rsidR="00C152F9" w:rsidRPr="00C152F9">
        <w:rPr>
          <w:rFonts w:ascii="Times New Roman" w:hAnsi="Times New Roman" w:cs="Times New Roman"/>
          <w:sz w:val="24"/>
          <w:szCs w:val="24"/>
        </w:rPr>
        <w:t xml:space="preserve"> </w:t>
      </w:r>
      <w:r w:rsidR="00220224" w:rsidRPr="00A83919">
        <w:rPr>
          <w:rFonts w:ascii="Times New Roman" w:hAnsi="Times New Roman" w:cs="Times New Roman"/>
          <w:sz w:val="24"/>
          <w:szCs w:val="24"/>
        </w:rPr>
        <w:t>financirano iz E</w:t>
      </w:r>
      <w:r w:rsidR="002B2134">
        <w:rPr>
          <w:rFonts w:ascii="Times New Roman" w:hAnsi="Times New Roman" w:cs="Times New Roman"/>
          <w:sz w:val="24"/>
          <w:szCs w:val="24"/>
        </w:rPr>
        <w:t>U</w:t>
      </w:r>
      <w:r w:rsidR="00220224" w:rsidRPr="00A83919">
        <w:rPr>
          <w:rFonts w:ascii="Times New Roman" w:hAnsi="Times New Roman" w:cs="Times New Roman"/>
          <w:sz w:val="24"/>
          <w:szCs w:val="24"/>
        </w:rPr>
        <w:t xml:space="preserve"> fondova, t</w:t>
      </w:r>
      <w:r w:rsidR="00573C0B" w:rsidRPr="00A83919">
        <w:rPr>
          <w:rFonts w:ascii="Times New Roman" w:hAnsi="Times New Roman" w:cs="Times New Roman"/>
          <w:sz w:val="24"/>
          <w:szCs w:val="24"/>
        </w:rPr>
        <w:t>e</w:t>
      </w:r>
      <w:r w:rsidR="00220224" w:rsidRPr="00A83919">
        <w:rPr>
          <w:rFonts w:ascii="Times New Roman" w:hAnsi="Times New Roman" w:cs="Times New Roman"/>
          <w:sz w:val="24"/>
          <w:szCs w:val="24"/>
        </w:rPr>
        <w:t xml:space="preserve"> da u sebi</w:t>
      </w:r>
      <w:r w:rsidRPr="00A83919">
        <w:rPr>
          <w:rFonts w:ascii="Times New Roman" w:hAnsi="Times New Roman" w:cs="Times New Roman"/>
          <w:sz w:val="24"/>
          <w:szCs w:val="24"/>
        </w:rPr>
        <w:t xml:space="preserve"> sadrži potporu male vrijednosti</w:t>
      </w:r>
      <w:r w:rsidR="002B2134">
        <w:rPr>
          <w:rFonts w:ascii="Times New Roman" w:hAnsi="Times New Roman" w:cs="Times New Roman"/>
          <w:sz w:val="24"/>
          <w:szCs w:val="24"/>
        </w:rPr>
        <w:t xml:space="preserve"> (</w:t>
      </w:r>
      <w:r w:rsidR="002B2134" w:rsidRPr="002B2134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2B2134">
        <w:rPr>
          <w:rFonts w:ascii="Times New Roman" w:hAnsi="Times New Roman" w:cs="Times New Roman"/>
          <w:sz w:val="24"/>
          <w:szCs w:val="24"/>
        </w:rPr>
        <w:t>)</w:t>
      </w:r>
      <w:r w:rsidR="00220224" w:rsidRPr="00A83919">
        <w:rPr>
          <w:rFonts w:ascii="Times New Roman" w:hAnsi="Times New Roman" w:cs="Times New Roman"/>
          <w:sz w:val="24"/>
          <w:szCs w:val="24"/>
        </w:rPr>
        <w:t xml:space="preserve"> izraženu u obliku iznosa BEP-a (bruto ekvivalent potpore)</w:t>
      </w:r>
      <w:r w:rsidRPr="00A83919">
        <w:rPr>
          <w:rFonts w:ascii="Times New Roman" w:hAnsi="Times New Roman" w:cs="Times New Roman"/>
          <w:sz w:val="24"/>
          <w:szCs w:val="24"/>
        </w:rPr>
        <w:t>.</w:t>
      </w:r>
    </w:p>
    <w:p w14:paraId="7E89DA07" w14:textId="77777777" w:rsidR="00C152F9" w:rsidRDefault="00C152F9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1D99D" w14:textId="2AF4706D" w:rsidR="001E4E5F" w:rsidRPr="00A83919" w:rsidRDefault="001E4E5F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19">
        <w:rPr>
          <w:rFonts w:ascii="Times New Roman" w:hAnsi="Times New Roman" w:cs="Times New Roman"/>
          <w:b/>
          <w:sz w:val="24"/>
          <w:szCs w:val="24"/>
        </w:rPr>
        <w:t>Revizijski trag i pristup podacima</w:t>
      </w:r>
    </w:p>
    <w:p w14:paraId="1066228C" w14:textId="17E6D034" w:rsidR="001E4E5F" w:rsidRPr="00A83919" w:rsidRDefault="00943E5D" w:rsidP="00BF71B6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0419370"/>
      <w:r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bookmarkEnd w:id="3"/>
      <w:r w:rsidR="001E4E5F" w:rsidRPr="00A83919">
        <w:rPr>
          <w:rFonts w:ascii="Times New Roman" w:hAnsi="Times New Roman" w:cs="Times New Roman"/>
          <w:sz w:val="24"/>
          <w:szCs w:val="24"/>
        </w:rPr>
        <w:t>Krajnji primatelj</w:t>
      </w:r>
      <w:r>
        <w:rPr>
          <w:rFonts w:ascii="Times New Roman" w:hAnsi="Times New Roman" w:cs="Times New Roman"/>
          <w:sz w:val="24"/>
          <w:szCs w:val="24"/>
        </w:rPr>
        <w:t xml:space="preserve"> jamstva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je obvezan čuvati sve podatke i dokumentaciju vezano uz projekt i financiranje istog kako bi se ispunili zahtjevi o reviziji i revizijskom tragu u skladu s čl. </w:t>
      </w:r>
      <w:r w:rsidR="008A2184" w:rsidRPr="008A2184">
        <w:rPr>
          <w:rFonts w:ascii="Times New Roman" w:hAnsi="Times New Roman" w:cs="Times New Roman"/>
          <w:sz w:val="24"/>
          <w:szCs w:val="24"/>
        </w:rPr>
        <w:t>74.</w:t>
      </w:r>
      <w:r w:rsidR="001E4E5F" w:rsidRPr="008A2184">
        <w:rPr>
          <w:rFonts w:ascii="Times New Roman" w:hAnsi="Times New Roman" w:cs="Times New Roman"/>
          <w:sz w:val="24"/>
          <w:szCs w:val="24"/>
        </w:rPr>
        <w:t xml:space="preserve"> st. </w:t>
      </w:r>
      <w:r w:rsidR="008A2184" w:rsidRPr="008A2184">
        <w:rPr>
          <w:rFonts w:ascii="Times New Roman" w:hAnsi="Times New Roman" w:cs="Times New Roman"/>
          <w:sz w:val="24"/>
          <w:szCs w:val="24"/>
        </w:rPr>
        <w:t>1.</w:t>
      </w:r>
      <w:r w:rsidR="001E4E5F" w:rsidRPr="008A2184">
        <w:rPr>
          <w:rFonts w:ascii="Times New Roman" w:hAnsi="Times New Roman" w:cs="Times New Roman"/>
          <w:sz w:val="24"/>
          <w:szCs w:val="24"/>
        </w:rPr>
        <w:t xml:space="preserve"> Uredbe (EU) br. </w:t>
      </w:r>
      <w:r w:rsidR="00FB0DA8" w:rsidRPr="008A2184">
        <w:rPr>
          <w:rFonts w:ascii="Times New Roman" w:hAnsi="Times New Roman" w:cs="Times New Roman"/>
          <w:sz w:val="24"/>
          <w:szCs w:val="24"/>
        </w:rPr>
        <w:t>2021/1060</w:t>
      </w:r>
      <w:r w:rsidR="001E4E5F" w:rsidRPr="008A2184">
        <w:rPr>
          <w:rFonts w:ascii="Times New Roman" w:hAnsi="Times New Roman" w:cs="Times New Roman"/>
          <w:sz w:val="24"/>
          <w:szCs w:val="24"/>
        </w:rPr>
        <w:t>, a radi omogućavanja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provjere i usklađenost s nacionalnom zakonskom regulativom i regulativom EU te sa svim uvjetima financiranja.</w:t>
      </w:r>
    </w:p>
    <w:p w14:paraId="3948056A" w14:textId="30A4F990" w:rsidR="001E4E5F" w:rsidRPr="00A83919" w:rsidRDefault="00943E5D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1E4E5F" w:rsidRPr="00A83919">
        <w:rPr>
          <w:rFonts w:ascii="Times New Roman" w:hAnsi="Times New Roman" w:cs="Times New Roman"/>
          <w:sz w:val="24"/>
          <w:szCs w:val="24"/>
        </w:rPr>
        <w:t>Krajnji primatelj</w:t>
      </w:r>
      <w:r>
        <w:rPr>
          <w:rFonts w:ascii="Times New Roman" w:hAnsi="Times New Roman" w:cs="Times New Roman"/>
          <w:sz w:val="24"/>
          <w:szCs w:val="24"/>
        </w:rPr>
        <w:t xml:space="preserve"> jamstva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je </w:t>
      </w:r>
      <w:r w:rsidR="00BA092E" w:rsidRPr="00A83919">
        <w:rPr>
          <w:rFonts w:ascii="Times New Roman" w:hAnsi="Times New Roman" w:cs="Times New Roman"/>
          <w:sz w:val="24"/>
          <w:szCs w:val="24"/>
        </w:rPr>
        <w:t>dužan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za potrebe provedbe revizije i/ili kako bi UT moglo izvršiti evaluaciju u skladu s člancima </w:t>
      </w:r>
      <w:r w:rsidR="00902172">
        <w:rPr>
          <w:rFonts w:ascii="Times New Roman" w:hAnsi="Times New Roman" w:cs="Times New Roman"/>
          <w:sz w:val="24"/>
          <w:szCs w:val="24"/>
        </w:rPr>
        <w:t>44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. i </w:t>
      </w:r>
      <w:r w:rsidR="00902172">
        <w:rPr>
          <w:rFonts w:ascii="Times New Roman" w:hAnsi="Times New Roman" w:cs="Times New Roman"/>
          <w:sz w:val="24"/>
          <w:szCs w:val="24"/>
        </w:rPr>
        <w:t>45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. Uredbe (EU) br. </w:t>
      </w:r>
      <w:r w:rsidR="00902172">
        <w:rPr>
          <w:rFonts w:ascii="Times New Roman" w:hAnsi="Times New Roman" w:cs="Times New Roman"/>
          <w:sz w:val="24"/>
          <w:szCs w:val="24"/>
        </w:rPr>
        <w:t>2021/1060</w:t>
      </w:r>
      <w:r w:rsidR="001E4E5F" w:rsidRPr="00A83919">
        <w:rPr>
          <w:rFonts w:ascii="Times New Roman" w:hAnsi="Times New Roman" w:cs="Times New Roman"/>
          <w:sz w:val="24"/>
          <w:szCs w:val="24"/>
        </w:rPr>
        <w:t>., na zahtjev HAMAG-BICRO-a i/ili UT-a, bez odgode pripremiti relevantne informacije</w:t>
      </w:r>
      <w:r w:rsidR="004268B5" w:rsidRPr="00A83919">
        <w:rPr>
          <w:rFonts w:ascii="Times New Roman" w:hAnsi="Times New Roman" w:cs="Times New Roman"/>
          <w:sz w:val="24"/>
          <w:szCs w:val="24"/>
        </w:rPr>
        <w:t xml:space="preserve"> i pripadajuću dokumentaciju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o</w:t>
      </w:r>
      <w:r w:rsidR="004268B5" w:rsidRPr="00A83919">
        <w:rPr>
          <w:rFonts w:ascii="Times New Roman" w:hAnsi="Times New Roman" w:cs="Times New Roman"/>
          <w:sz w:val="24"/>
          <w:szCs w:val="24"/>
        </w:rPr>
        <w:t xml:space="preserve"> financiranom projektu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0481F6" w14:textId="696FB3F9" w:rsidR="001E4E5F" w:rsidRPr="00A83919" w:rsidRDefault="00943E5D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je </w:t>
      </w:r>
      <w:r w:rsidR="00BA092E" w:rsidRPr="00A83919">
        <w:rPr>
          <w:rFonts w:ascii="Times New Roman" w:hAnsi="Times New Roman" w:cs="Times New Roman"/>
          <w:sz w:val="24"/>
          <w:szCs w:val="24"/>
        </w:rPr>
        <w:t>upoznat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da se u svrhu revizije zatraženi/utvrđeni podaci mogu proslijediti UT-u, </w:t>
      </w:r>
      <w:r w:rsidR="006B3A2A" w:rsidRPr="006B3A2A">
        <w:rPr>
          <w:rFonts w:ascii="Times New Roman" w:eastAsia="Batang" w:hAnsi="Times New Roman" w:cs="Times New Roman"/>
          <w:sz w:val="24"/>
          <w:szCs w:val="24"/>
          <w:lang w:eastAsia="hr-HR"/>
        </w:rPr>
        <w:t>MINGOR-</w:t>
      </w:r>
      <w:r w:rsidR="006B3A2A">
        <w:rPr>
          <w:rFonts w:ascii="Times New Roman" w:eastAsia="Batang" w:hAnsi="Times New Roman" w:cs="Times New Roman"/>
          <w:sz w:val="24"/>
          <w:szCs w:val="24"/>
          <w:lang w:eastAsia="hr-HR"/>
        </w:rPr>
        <w:t>u</w:t>
      </w:r>
      <w:r w:rsidR="006B3A2A" w:rsidRPr="006B3A2A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(Ministarstvo gospodarstva i održivog razvoja)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, </w:t>
      </w:r>
      <w:r w:rsidR="00E60A08">
        <w:rPr>
          <w:rFonts w:ascii="Times New Roman" w:hAnsi="Times New Roman" w:cs="Times New Roman"/>
          <w:sz w:val="24"/>
          <w:szCs w:val="24"/>
        </w:rPr>
        <w:t xml:space="preserve">HAMAG-BICRO-u, 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revizorskim tijelima RH, </w:t>
      </w:r>
      <w:r w:rsidR="001E4E5F" w:rsidRPr="00A83919">
        <w:rPr>
          <w:rFonts w:ascii="Times New Roman" w:hAnsi="Times New Roman" w:cs="Times New Roman"/>
          <w:sz w:val="24"/>
          <w:szCs w:val="24"/>
        </w:rPr>
        <w:lastRenderedPageBreak/>
        <w:t xml:space="preserve">revizorima EK, Europskom revizorskom sudu, </w:t>
      </w:r>
      <w:r w:rsidR="005A73A2" w:rsidRPr="005A73A2">
        <w:rPr>
          <w:rFonts w:ascii="Times New Roman" w:eastAsia="Calibri" w:hAnsi="Times New Roman" w:cs="Times New Roman"/>
          <w:sz w:val="24"/>
        </w:rPr>
        <w:t>Europsk</w:t>
      </w:r>
      <w:r w:rsidR="005A73A2">
        <w:rPr>
          <w:rFonts w:ascii="Times New Roman" w:eastAsia="Calibri" w:hAnsi="Times New Roman" w:cs="Times New Roman"/>
          <w:sz w:val="24"/>
        </w:rPr>
        <w:t>om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ured</w:t>
      </w:r>
      <w:r w:rsidR="005A73A2">
        <w:rPr>
          <w:rFonts w:ascii="Times New Roman" w:eastAsia="Calibri" w:hAnsi="Times New Roman" w:cs="Times New Roman"/>
          <w:sz w:val="24"/>
        </w:rPr>
        <w:t>u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za borbu protiv prijevara </w:t>
      </w:r>
      <w:r w:rsidR="005A73A2">
        <w:rPr>
          <w:rFonts w:ascii="Times New Roman" w:eastAsia="Calibri" w:hAnsi="Times New Roman" w:cs="Times New Roman"/>
          <w:sz w:val="24"/>
        </w:rPr>
        <w:t>(</w:t>
      </w:r>
      <w:r w:rsidR="001E4E5F" w:rsidRPr="00A83919">
        <w:rPr>
          <w:rFonts w:ascii="Times New Roman" w:hAnsi="Times New Roman" w:cs="Times New Roman"/>
          <w:sz w:val="24"/>
          <w:szCs w:val="24"/>
        </w:rPr>
        <w:t>OLAF-u</w:t>
      </w:r>
      <w:r w:rsidR="005A73A2">
        <w:rPr>
          <w:rFonts w:ascii="Times New Roman" w:hAnsi="Times New Roman" w:cs="Times New Roman"/>
          <w:sz w:val="24"/>
          <w:szCs w:val="24"/>
        </w:rPr>
        <w:t>),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Europsko</w:t>
      </w:r>
      <w:r w:rsidR="005A73A2">
        <w:rPr>
          <w:rFonts w:ascii="Times New Roman" w:eastAsia="Calibri" w:hAnsi="Times New Roman" w:cs="Times New Roman"/>
          <w:sz w:val="24"/>
        </w:rPr>
        <w:t>m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javno</w:t>
      </w:r>
      <w:r w:rsidR="005A73A2">
        <w:rPr>
          <w:rFonts w:ascii="Times New Roman" w:eastAsia="Calibri" w:hAnsi="Times New Roman" w:cs="Times New Roman"/>
          <w:sz w:val="24"/>
        </w:rPr>
        <w:t>m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tužitelj</w:t>
      </w:r>
      <w:r w:rsidR="005A73A2">
        <w:rPr>
          <w:rFonts w:ascii="Times New Roman" w:eastAsia="Calibri" w:hAnsi="Times New Roman" w:cs="Times New Roman"/>
          <w:sz w:val="24"/>
        </w:rPr>
        <w:t>u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</w:t>
      </w:r>
      <w:r w:rsidR="005A73A2">
        <w:rPr>
          <w:rFonts w:ascii="Times New Roman" w:hAnsi="Times New Roman" w:cs="Times New Roman"/>
          <w:sz w:val="24"/>
          <w:szCs w:val="24"/>
        </w:rPr>
        <w:t>(</w:t>
      </w:r>
      <w:r w:rsidR="006B3A2A" w:rsidRPr="006B3A2A">
        <w:rPr>
          <w:rFonts w:ascii="Times New Roman" w:eastAsia="Batang" w:hAnsi="Times New Roman" w:cs="Times New Roman"/>
          <w:sz w:val="24"/>
          <w:szCs w:val="24"/>
          <w:lang w:eastAsia="hr-HR"/>
        </w:rPr>
        <w:t>EPPO-u</w:t>
      </w:r>
      <w:r w:rsidR="005A73A2">
        <w:rPr>
          <w:rFonts w:ascii="Times New Roman" w:eastAsia="Batang" w:hAnsi="Times New Roman" w:cs="Times New Roman"/>
          <w:sz w:val="24"/>
          <w:szCs w:val="24"/>
          <w:lang w:eastAsia="hr-HR"/>
        </w:rPr>
        <w:t>)</w:t>
      </w:r>
      <w:r w:rsidR="006B3A2A" w:rsidRPr="006B3A2A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i ostalim tijelima koja imaju ovlasti revidiranja provedbe financijskog instrumenta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kada to zaht</w:t>
      </w:r>
      <w:r w:rsidR="009A4E28" w:rsidRPr="00A83919">
        <w:rPr>
          <w:rFonts w:ascii="Times New Roman" w:hAnsi="Times New Roman" w:cs="Times New Roman"/>
          <w:sz w:val="24"/>
          <w:szCs w:val="24"/>
        </w:rPr>
        <w:t>i</w:t>
      </w:r>
      <w:r w:rsidR="001E4E5F" w:rsidRPr="00A83919">
        <w:rPr>
          <w:rFonts w:ascii="Times New Roman" w:hAnsi="Times New Roman" w:cs="Times New Roman"/>
          <w:sz w:val="24"/>
          <w:szCs w:val="24"/>
        </w:rPr>
        <w:t>jevaju relevantne odredbe nacionalnog prava odnosno prava Europske unije, te je suglasan istima po potrebi dopustiti pristup i obilazak svojih poslovnih prostorija, pristup poslovnim knjigama, evidencijama, izvješćima i drugoj dokumentaciji vezanoj uz projekt te razgovor s osobama uključenim u projekt (ograničen pristup pojedinim podacima ne sprječava ovlaštena tijela u provođenju revizije).</w:t>
      </w:r>
    </w:p>
    <w:p w14:paraId="16FA74AA" w14:textId="3A135EF9" w:rsidR="001E4E5F" w:rsidRPr="00A83919" w:rsidRDefault="00943E5D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AA1ED3" w:rsidRPr="00A83919">
        <w:rPr>
          <w:rFonts w:ascii="Times New Roman" w:hAnsi="Times New Roman" w:cs="Times New Roman"/>
          <w:sz w:val="24"/>
          <w:szCs w:val="24"/>
        </w:rPr>
        <w:t>Krajnji primatelj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1E4E5F" w:rsidRPr="00A83919">
        <w:rPr>
          <w:rFonts w:ascii="Times New Roman" w:hAnsi="Times New Roman" w:cs="Times New Roman"/>
          <w:sz w:val="24"/>
          <w:szCs w:val="24"/>
        </w:rPr>
        <w:t>potvrđuj</w:t>
      </w:r>
      <w:r w:rsidR="00AA1ED3" w:rsidRPr="00A83919">
        <w:rPr>
          <w:rFonts w:ascii="Times New Roman" w:hAnsi="Times New Roman" w:cs="Times New Roman"/>
          <w:sz w:val="24"/>
          <w:szCs w:val="24"/>
        </w:rPr>
        <w:t>e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da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je </w:t>
      </w:r>
      <w:r w:rsidR="001E4E5F" w:rsidRPr="00A83919">
        <w:rPr>
          <w:rFonts w:ascii="Times New Roman" w:hAnsi="Times New Roman" w:cs="Times New Roman"/>
          <w:sz w:val="24"/>
          <w:szCs w:val="24"/>
        </w:rPr>
        <w:t>svjes</w:t>
      </w:r>
      <w:r w:rsidR="00AA1ED3" w:rsidRPr="00A83919">
        <w:rPr>
          <w:rFonts w:ascii="Times New Roman" w:hAnsi="Times New Roman" w:cs="Times New Roman"/>
          <w:sz w:val="24"/>
          <w:szCs w:val="24"/>
        </w:rPr>
        <w:t>tan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ovlasti OLAF-a da provodi istrage, uključujući provjere i preglede na terenu, u skladu s odredbama i postupcima utvrđenima u Uredbi (EU, Euratom) br. 883/2013, Uredbi (Euratom, EZ) br. 2185/96 i Uredbi (EZ, Euratom) br. 2988/95, uključujući njihove povremene izmjene i dopune, radi zaštite financijskih interesa EU, kako bi se utvrdilo je li došlo do prijevare, korupcije ili bilo koje druge nezakonite aktivnosti kojom se utječe na financijske interese EU u vezi s bilo kojom financijskom aktivnošću koja podliježe ovom Ugovoru.</w:t>
      </w:r>
    </w:p>
    <w:p w14:paraId="215A5D60" w14:textId="16E5CC76" w:rsidR="001E4E5F" w:rsidRPr="00A83919" w:rsidRDefault="00646062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1E4E5F" w:rsidRPr="00A83919">
        <w:rPr>
          <w:rFonts w:ascii="Times New Roman" w:eastAsia="Times New Roman" w:hAnsi="Times New Roman" w:cs="Times New Roman"/>
          <w:sz w:val="24"/>
          <w:szCs w:val="24"/>
          <w:lang w:eastAsia="hr-HR"/>
        </w:rPr>
        <w:t>va popratna dokumentacija vezana uz izdatke za koje se prima potpora iz E</w:t>
      </w:r>
      <w:r w:rsidR="0004122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E4E5F" w:rsidRPr="00A839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fondova za aktivnost mora se čuvati: </w:t>
      </w:r>
    </w:p>
    <w:p w14:paraId="13C13BB2" w14:textId="318BC79F" w:rsidR="00041229" w:rsidRPr="00041229" w:rsidRDefault="00041229" w:rsidP="00041229">
      <w:pPr>
        <w:numPr>
          <w:ilvl w:val="0"/>
          <w:numId w:val="3"/>
        </w:numPr>
        <w:spacing w:after="12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1229">
        <w:rPr>
          <w:rFonts w:ascii="Times New Roman" w:eastAsia="Times New Roman" w:hAnsi="Times New Roman" w:cs="Times New Roman"/>
          <w:sz w:val="24"/>
          <w:szCs w:val="24"/>
          <w:lang w:eastAsia="hr-HR"/>
        </w:rPr>
        <w:t>na primjerenoj razini tijekom razdoblja od 10 (deset) godina od 31. prosinca godine u kojoj je izvršeno posljednje plaćanje Upravljačkog tijela (UT-a) Korisniku (HAMAG-BICRO-u) osim ako se tijekom provedbe FI-ja ne pokaže potreba za skraćenjem roka, pri čemu rok ne smije biti kraći od 5 (pet) godina od 31. prosinca one godine kada je izvršeno posljednje plaćanje UT-a HAMAG-BICRO-u;</w:t>
      </w:r>
    </w:p>
    <w:p w14:paraId="440AA345" w14:textId="54FFBB82" w:rsidR="001E4E5F" w:rsidRPr="00A83919" w:rsidRDefault="00041229" w:rsidP="00041229">
      <w:pPr>
        <w:numPr>
          <w:ilvl w:val="0"/>
          <w:numId w:val="3"/>
        </w:numPr>
        <w:spacing w:after="12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1229">
        <w:rPr>
          <w:rFonts w:ascii="Times New Roman" w:eastAsia="Times New Roman" w:hAnsi="Times New Roman" w:cs="Times New Roman"/>
          <w:sz w:val="24"/>
          <w:szCs w:val="24"/>
          <w:lang w:eastAsia="hr-HR"/>
        </w:rPr>
        <w:t>vremensko razdoblje od pet godina iz prethodne alineje prekida se u slučaju pravnog postupka ili na zahtjev Komisije.</w:t>
      </w:r>
      <w:r w:rsidR="001E4E5F" w:rsidRPr="00A839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726729E" w14:textId="77777777" w:rsidR="001E4E5F" w:rsidRPr="00A83919" w:rsidRDefault="001E4E5F" w:rsidP="00BF71B6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>Dokumentacija se čuva ili u originalu ili, u skladu s nacionalnim zakonodavstvom, kao ovjerena preslika originala, odnosno u opće prihvaćenim medijima za pohranu podataka poput elektroničkih inačica originala ili dokumenata koji postoje samo u elektroničkoj verziji.</w:t>
      </w:r>
    </w:p>
    <w:p w14:paraId="49080E76" w14:textId="77777777" w:rsidR="001E4E5F" w:rsidRPr="00A83919" w:rsidRDefault="001E4E5F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>Ako dokumenti postoje samo u elektronskom obliku, korišteni računalni sustavi moraju zadovoljavati prihvaćene sigurnosne standarde koji osiguravaju da pohranjeni dokumenti udovoljavaju nacionalnim pravnim zahtjevima kako bi bili pouzdani za potrebe revizije.</w:t>
      </w:r>
    </w:p>
    <w:p w14:paraId="4A0BA18A" w14:textId="77777777" w:rsidR="002C27C9" w:rsidRDefault="002C27C9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120F24" w14:textId="77777777" w:rsidR="00646062" w:rsidRDefault="00646062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5C8DF" w14:textId="156475E5" w:rsidR="001E4E5F" w:rsidRPr="00A83919" w:rsidRDefault="001E4E5F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19">
        <w:rPr>
          <w:rFonts w:ascii="Times New Roman" w:hAnsi="Times New Roman" w:cs="Times New Roman"/>
          <w:b/>
          <w:sz w:val="24"/>
          <w:szCs w:val="24"/>
        </w:rPr>
        <w:t>Vidljivost i transparentnost</w:t>
      </w:r>
    </w:p>
    <w:p w14:paraId="0907E669" w14:textId="449E9ECE" w:rsidR="00BF71B6" w:rsidRPr="00A83919" w:rsidRDefault="00943E5D" w:rsidP="00BF71B6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BF71B6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BF71B6" w:rsidRPr="00A83919">
        <w:rPr>
          <w:rFonts w:ascii="Times New Roman" w:hAnsi="Times New Roman" w:cs="Times New Roman"/>
          <w:sz w:val="24"/>
          <w:szCs w:val="24"/>
        </w:rPr>
        <w:t>prihvaća javnu objavu svojih podataka u popisu Krajnjih primatelja financijskih instrumenata koji objavljuje HAMAG-BICRO.</w:t>
      </w:r>
    </w:p>
    <w:p w14:paraId="44659254" w14:textId="374C3445" w:rsidR="008D5181" w:rsidRDefault="001E4E5F" w:rsidP="00BF71B6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Potpisom ovog Ugovora </w:t>
      </w:r>
      <w:r w:rsidR="00E60A08" w:rsidRPr="00E60A08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 w:rsidR="00E60A08">
        <w:rPr>
          <w:rFonts w:ascii="Times New Roman" w:hAnsi="Times New Roman" w:cs="Times New Roman"/>
          <w:sz w:val="24"/>
          <w:szCs w:val="24"/>
        </w:rPr>
        <w:t xml:space="preserve">jamstva </w:t>
      </w:r>
      <w:r w:rsidRPr="00A83919">
        <w:rPr>
          <w:rFonts w:ascii="Times New Roman" w:hAnsi="Times New Roman" w:cs="Times New Roman"/>
          <w:sz w:val="24"/>
          <w:szCs w:val="24"/>
        </w:rPr>
        <w:t>bezuvjetno dopušta HAMAG-BICRO-u da prikuplja, obrađuje i koristi podatke iz ovog Ugovora i rezultate cjelokupne ostvarene suradnje s Krajnjim primatelj</w:t>
      </w:r>
      <w:r w:rsidR="00AA1ED3" w:rsidRPr="00A83919">
        <w:rPr>
          <w:rFonts w:ascii="Times New Roman" w:hAnsi="Times New Roman" w:cs="Times New Roman"/>
          <w:sz w:val="24"/>
          <w:szCs w:val="24"/>
        </w:rPr>
        <w:t>e</w:t>
      </w:r>
      <w:r w:rsidRPr="00A83919">
        <w:rPr>
          <w:rFonts w:ascii="Times New Roman" w:hAnsi="Times New Roman" w:cs="Times New Roman"/>
          <w:sz w:val="24"/>
          <w:szCs w:val="24"/>
        </w:rPr>
        <w:t xml:space="preserve">m </w:t>
      </w:r>
      <w:r w:rsidR="00001A56" w:rsidRPr="00A83919">
        <w:rPr>
          <w:rFonts w:ascii="Times New Roman" w:hAnsi="Times New Roman" w:cs="Times New Roman"/>
          <w:sz w:val="24"/>
          <w:szCs w:val="24"/>
        </w:rPr>
        <w:t xml:space="preserve">vezanom uz </w:t>
      </w:r>
      <w:r w:rsidR="008D5181">
        <w:rPr>
          <w:rFonts w:ascii="Times New Roman" w:hAnsi="Times New Roman" w:cs="Times New Roman"/>
          <w:sz w:val="24"/>
          <w:szCs w:val="24"/>
        </w:rPr>
        <w:t>EFRR</w:t>
      </w:r>
      <w:r w:rsidR="00001A56" w:rsidRPr="00A83919">
        <w:rPr>
          <w:rFonts w:ascii="Times New Roman" w:hAnsi="Times New Roman" w:cs="Times New Roman"/>
          <w:sz w:val="24"/>
          <w:szCs w:val="24"/>
        </w:rPr>
        <w:t xml:space="preserve"> portfeljno jamstvo </w:t>
      </w:r>
      <w:r w:rsidRPr="00A83919">
        <w:rPr>
          <w:rFonts w:ascii="Times New Roman" w:hAnsi="Times New Roman" w:cs="Times New Roman"/>
          <w:sz w:val="24"/>
          <w:szCs w:val="24"/>
        </w:rPr>
        <w:t>isključivo u svrhu promocije i privlačenja investicija u poduzetništvu i stvaranju poticajnog okruženja, poticanja ulaganja malog gospodarstva te uspješnog ostvarenja ostalih djelatnosti HAMAG-BICRO-a, kao i u svrhu ispunjavanja propisanih standarda o transparentnosti podataka vezanih uz dodjelu potpora malih vrijednosti</w:t>
      </w:r>
      <w:r w:rsidR="008D5181">
        <w:rPr>
          <w:rFonts w:ascii="Times New Roman" w:hAnsi="Times New Roman" w:cs="Times New Roman"/>
          <w:sz w:val="24"/>
          <w:szCs w:val="24"/>
        </w:rPr>
        <w:t xml:space="preserve"> (</w:t>
      </w:r>
      <w:r w:rsidR="008D5181" w:rsidRPr="008D5181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8D5181">
        <w:rPr>
          <w:rFonts w:ascii="Times New Roman" w:hAnsi="Times New Roman" w:cs="Times New Roman"/>
          <w:sz w:val="24"/>
          <w:szCs w:val="24"/>
        </w:rPr>
        <w:t>)</w:t>
      </w:r>
      <w:r w:rsidRPr="00A839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CB7A36" w14:textId="41E96AD4" w:rsidR="008D5181" w:rsidRDefault="001E4E5F" w:rsidP="008D5181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Dopuštenje se osobito odnosi na javnu objavu podatka </w:t>
      </w:r>
      <w:r w:rsidRPr="008D5181">
        <w:rPr>
          <w:rFonts w:ascii="Times New Roman" w:hAnsi="Times New Roman" w:cs="Times New Roman"/>
          <w:sz w:val="24"/>
          <w:szCs w:val="24"/>
          <w:highlight w:val="lightGray"/>
        </w:rPr>
        <w:t>o nazivu i sjedištu</w:t>
      </w:r>
      <w:r w:rsidRPr="00A83919">
        <w:rPr>
          <w:rFonts w:ascii="Times New Roman" w:hAnsi="Times New Roman" w:cs="Times New Roman"/>
          <w:sz w:val="24"/>
          <w:szCs w:val="24"/>
        </w:rPr>
        <w:t xml:space="preserve"> Krajnjeg primatelja, </w:t>
      </w:r>
      <w:r w:rsidR="008D5181">
        <w:rPr>
          <w:rFonts w:ascii="Times New Roman" w:hAnsi="Times New Roman" w:cs="Times New Roman"/>
          <w:sz w:val="24"/>
          <w:szCs w:val="24"/>
        </w:rPr>
        <w:t xml:space="preserve">OIB Krajnjeg primatelja, </w:t>
      </w:r>
      <w:r w:rsidRPr="008D5181">
        <w:rPr>
          <w:rFonts w:ascii="Times New Roman" w:hAnsi="Times New Roman" w:cs="Times New Roman"/>
          <w:sz w:val="24"/>
          <w:szCs w:val="24"/>
          <w:highlight w:val="lightGray"/>
        </w:rPr>
        <w:t>djelatnosti/sektoru</w:t>
      </w:r>
      <w:r w:rsidRPr="00A83919">
        <w:rPr>
          <w:rFonts w:ascii="Times New Roman" w:hAnsi="Times New Roman" w:cs="Times New Roman"/>
          <w:sz w:val="24"/>
          <w:szCs w:val="24"/>
        </w:rPr>
        <w:t xml:space="preserve"> u koje Krajnji primatelj ulaže, </w:t>
      </w:r>
      <w:r w:rsidR="008D5181">
        <w:rPr>
          <w:rFonts w:ascii="Times New Roman" w:hAnsi="Times New Roman" w:cs="Times New Roman"/>
          <w:sz w:val="24"/>
          <w:szCs w:val="24"/>
        </w:rPr>
        <w:t xml:space="preserve">lokaciju ulaganja, </w:t>
      </w:r>
      <w:r w:rsidRPr="008D5181">
        <w:rPr>
          <w:rFonts w:ascii="Times New Roman" w:hAnsi="Times New Roman" w:cs="Times New Roman"/>
          <w:sz w:val="24"/>
          <w:szCs w:val="24"/>
          <w:highlight w:val="lightGray"/>
        </w:rPr>
        <w:t>iznosu ukupne vrijednosti ulaganja</w:t>
      </w:r>
      <w:r w:rsidRPr="00A83919">
        <w:rPr>
          <w:rFonts w:ascii="Times New Roman" w:hAnsi="Times New Roman" w:cs="Times New Roman"/>
          <w:sz w:val="24"/>
          <w:szCs w:val="24"/>
        </w:rPr>
        <w:t xml:space="preserve"> te </w:t>
      </w:r>
      <w:r w:rsidRPr="008D5181">
        <w:rPr>
          <w:rFonts w:ascii="Times New Roman" w:hAnsi="Times New Roman" w:cs="Times New Roman"/>
          <w:sz w:val="24"/>
          <w:szCs w:val="24"/>
          <w:highlight w:val="lightGray"/>
        </w:rPr>
        <w:t>planiranom broju zaposlenih</w:t>
      </w:r>
      <w:r w:rsidRPr="00A83919">
        <w:rPr>
          <w:rFonts w:ascii="Times New Roman" w:hAnsi="Times New Roman" w:cs="Times New Roman"/>
          <w:sz w:val="24"/>
          <w:szCs w:val="24"/>
        </w:rPr>
        <w:t xml:space="preserve"> prije i poslije investicije.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F03FE" w14:textId="549323A6" w:rsidR="00AA1ED3" w:rsidRPr="00A83919" w:rsidRDefault="001E4E5F" w:rsidP="008D5181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 w:rsidR="00BA092E" w:rsidRPr="00A83919">
        <w:rPr>
          <w:rFonts w:ascii="Times New Roman" w:hAnsi="Times New Roman" w:cs="Times New Roman"/>
          <w:sz w:val="24"/>
          <w:szCs w:val="24"/>
        </w:rPr>
        <w:t xml:space="preserve">je upoznat </w:t>
      </w:r>
      <w:r w:rsidRPr="00A83919">
        <w:rPr>
          <w:rFonts w:ascii="Times New Roman" w:hAnsi="Times New Roman" w:cs="Times New Roman"/>
          <w:sz w:val="24"/>
          <w:szCs w:val="24"/>
        </w:rPr>
        <w:t xml:space="preserve">da se tako prikupljeni, obrađeni, korišteni i javno objavljeni podaci neće smatrati poslovnom tajnom. </w:t>
      </w:r>
    </w:p>
    <w:p w14:paraId="33E8E371" w14:textId="01828E7D" w:rsidR="00AA1ED3" w:rsidRPr="00A83919" w:rsidRDefault="001E4E5F" w:rsidP="00BF71B6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>Podat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kom se smatra </w:t>
      </w:r>
      <w:r w:rsidRPr="00A83919">
        <w:rPr>
          <w:rFonts w:ascii="Times New Roman" w:hAnsi="Times New Roman" w:cs="Times New Roman"/>
          <w:sz w:val="24"/>
          <w:szCs w:val="24"/>
        </w:rPr>
        <w:t xml:space="preserve">dokument, odnosno svaki napisani, umnoženi, nacrtani, slikovni, tiskani, snimljeni, fotografirani, magnetni, optički, elektronički ili bilo koji drugi zapis podataka kao i prilozi, saznanje, mjera, postupak, predmet, usmeno priopćenje ili informacija, koja s obzirom na svoj sadržaj ima važnost i za </w:t>
      </w:r>
      <w:r w:rsidR="00943E5D">
        <w:rPr>
          <w:rFonts w:ascii="Times New Roman" w:hAnsi="Times New Roman" w:cs="Times New Roman"/>
          <w:sz w:val="24"/>
          <w:szCs w:val="24"/>
        </w:rPr>
        <w:t xml:space="preserve">Korisnika kredita / </w:t>
      </w:r>
      <w:r w:rsidRPr="00A83919">
        <w:rPr>
          <w:rFonts w:ascii="Times New Roman" w:hAnsi="Times New Roman" w:cs="Times New Roman"/>
          <w:sz w:val="24"/>
          <w:szCs w:val="24"/>
        </w:rPr>
        <w:t xml:space="preserve">Krajnjeg primatelja </w:t>
      </w:r>
      <w:r w:rsidR="00943E5D">
        <w:rPr>
          <w:rFonts w:ascii="Times New Roman" w:hAnsi="Times New Roman" w:cs="Times New Roman"/>
          <w:sz w:val="24"/>
          <w:szCs w:val="24"/>
        </w:rPr>
        <w:t xml:space="preserve">jamstva </w:t>
      </w:r>
      <w:r w:rsidRPr="00A83919">
        <w:rPr>
          <w:rFonts w:ascii="Times New Roman" w:hAnsi="Times New Roman" w:cs="Times New Roman"/>
          <w:sz w:val="24"/>
          <w:szCs w:val="24"/>
        </w:rPr>
        <w:t>i HAMAG-BICRO.</w:t>
      </w:r>
    </w:p>
    <w:p w14:paraId="2A3B9C6A" w14:textId="2BAE8F5E" w:rsidR="00D53B05" w:rsidRPr="00E31C99" w:rsidRDefault="00D53B05" w:rsidP="004B0CD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Kad god je primjenjivo, </w:t>
      </w:r>
      <w:r w:rsid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A83919">
        <w:rPr>
          <w:rFonts w:ascii="Times New Roman" w:hAnsi="Times New Roman" w:cs="Times New Roman"/>
          <w:sz w:val="24"/>
          <w:szCs w:val="24"/>
        </w:rPr>
        <w:t>Krajnji primatelj</w:t>
      </w:r>
      <w:r w:rsidR="00943E5D">
        <w:rPr>
          <w:rFonts w:ascii="Times New Roman" w:hAnsi="Times New Roman" w:cs="Times New Roman"/>
          <w:sz w:val="24"/>
          <w:szCs w:val="24"/>
        </w:rPr>
        <w:t xml:space="preserve"> jamstva</w:t>
      </w:r>
      <w:r w:rsidRPr="00A83919">
        <w:rPr>
          <w:rFonts w:ascii="Times New Roman" w:hAnsi="Times New Roman" w:cs="Times New Roman"/>
          <w:sz w:val="24"/>
          <w:szCs w:val="24"/>
        </w:rPr>
        <w:t xml:space="preserve"> je dužan u javnim i medijskim nastupima, obznaniti kako je </w:t>
      </w:r>
      <w:r w:rsidR="001C52E5">
        <w:rPr>
          <w:rFonts w:ascii="Times New Roman" w:hAnsi="Times New Roman" w:cs="Times New Roman"/>
          <w:sz w:val="24"/>
          <w:szCs w:val="24"/>
        </w:rPr>
        <w:t xml:space="preserve">isti </w:t>
      </w:r>
      <w:r w:rsidRPr="00A83919">
        <w:rPr>
          <w:rFonts w:ascii="Times New Roman" w:hAnsi="Times New Roman" w:cs="Times New Roman"/>
          <w:sz w:val="24"/>
          <w:szCs w:val="24"/>
        </w:rPr>
        <w:t>krajnji primatelj financijskog instrumenta "</w:t>
      </w:r>
      <w:r w:rsidR="001C52E5" w:rsidRPr="00E31C99">
        <w:rPr>
          <w:rFonts w:ascii="Times New Roman" w:hAnsi="Times New Roman" w:cs="Times New Roman"/>
          <w:sz w:val="24"/>
          <w:szCs w:val="24"/>
        </w:rPr>
        <w:t>EFRR portfeljnog</w:t>
      </w:r>
      <w:r w:rsidRPr="00E31C99">
        <w:rPr>
          <w:rFonts w:ascii="Times New Roman" w:hAnsi="Times New Roman" w:cs="Times New Roman"/>
          <w:sz w:val="24"/>
          <w:szCs w:val="24"/>
        </w:rPr>
        <w:t xml:space="preserve"> jamstva" sufinanciranog iz Europskog fonda za regionalni razvoj</w:t>
      </w:r>
      <w:r w:rsidR="001C52E5" w:rsidRPr="00E31C99">
        <w:rPr>
          <w:rFonts w:ascii="Times New Roman" w:hAnsi="Times New Roman" w:cs="Times New Roman"/>
          <w:sz w:val="24"/>
          <w:szCs w:val="24"/>
        </w:rPr>
        <w:t xml:space="preserve"> (EFRR)</w:t>
      </w:r>
      <w:r w:rsidRPr="00E31C99">
        <w:rPr>
          <w:rFonts w:ascii="Times New Roman" w:hAnsi="Times New Roman" w:cs="Times New Roman"/>
          <w:sz w:val="24"/>
          <w:szCs w:val="24"/>
        </w:rPr>
        <w:t xml:space="preserve"> u sklopu </w:t>
      </w:r>
      <w:r w:rsidR="001C52E5" w:rsidRPr="00E31C99">
        <w:rPr>
          <w:rFonts w:ascii="Times New Roman" w:hAnsi="Times New Roman" w:cs="Times New Roman"/>
          <w:sz w:val="24"/>
          <w:szCs w:val="24"/>
        </w:rPr>
        <w:t>P</w:t>
      </w:r>
      <w:r w:rsidRPr="00E31C99">
        <w:rPr>
          <w:rFonts w:ascii="Times New Roman" w:hAnsi="Times New Roman" w:cs="Times New Roman"/>
          <w:sz w:val="24"/>
          <w:szCs w:val="24"/>
        </w:rPr>
        <w:t>rograma "Konkurentnost i kohezija 20</w:t>
      </w:r>
      <w:r w:rsidR="001C52E5" w:rsidRPr="00E31C99">
        <w:rPr>
          <w:rFonts w:ascii="Times New Roman" w:hAnsi="Times New Roman" w:cs="Times New Roman"/>
          <w:sz w:val="24"/>
          <w:szCs w:val="24"/>
        </w:rPr>
        <w:t>2</w:t>
      </w:r>
      <w:r w:rsidRPr="00E31C99">
        <w:rPr>
          <w:rFonts w:ascii="Times New Roman" w:hAnsi="Times New Roman" w:cs="Times New Roman"/>
          <w:sz w:val="24"/>
          <w:szCs w:val="24"/>
        </w:rPr>
        <w:t>1.-202</w:t>
      </w:r>
      <w:r w:rsidR="001C52E5" w:rsidRPr="00E31C99">
        <w:rPr>
          <w:rFonts w:ascii="Times New Roman" w:hAnsi="Times New Roman" w:cs="Times New Roman"/>
          <w:sz w:val="24"/>
          <w:szCs w:val="24"/>
        </w:rPr>
        <w:t>7</w:t>
      </w:r>
      <w:r w:rsidRPr="00E31C99">
        <w:rPr>
          <w:rFonts w:ascii="Times New Roman" w:hAnsi="Times New Roman" w:cs="Times New Roman"/>
          <w:sz w:val="24"/>
          <w:szCs w:val="24"/>
        </w:rPr>
        <w:t>."</w:t>
      </w:r>
      <w:r w:rsidR="001C52E5" w:rsidRPr="00E31C99">
        <w:rPr>
          <w:rFonts w:ascii="Times New Roman" w:hAnsi="Times New Roman" w:cs="Times New Roman"/>
          <w:sz w:val="24"/>
          <w:szCs w:val="24"/>
        </w:rPr>
        <w:t xml:space="preserve"> (PKK 2021.-2027.)</w:t>
      </w:r>
      <w:r w:rsidR="004B0CDF" w:rsidRPr="00E31C99">
        <w:rPr>
          <w:rFonts w:ascii="Arial" w:eastAsiaTheme="minorEastAsia" w:hAnsi="Arial" w:cs="Arial"/>
          <w:lang w:eastAsia="hr-HR"/>
        </w:rPr>
        <w:t xml:space="preserve"> </w:t>
      </w:r>
      <w:r w:rsidR="004B0CDF" w:rsidRPr="00E31C99">
        <w:rPr>
          <w:rFonts w:ascii="Times New Roman" w:hAnsi="Times New Roman" w:cs="Times New Roman"/>
          <w:sz w:val="24"/>
          <w:szCs w:val="24"/>
        </w:rPr>
        <w:t>te prikazati u svim komunikacijskim aktivnostima amblem EU-a s odgovarajućom izjavom o financiranju</w:t>
      </w:r>
      <w:r w:rsidR="004B0CDF" w:rsidRPr="00E31C99">
        <w:rPr>
          <w:rFonts w:ascii="Times New Roman" w:hAnsi="Times New Roman" w:cs="Times New Roman"/>
          <w:bCs/>
          <w:sz w:val="24"/>
          <w:szCs w:val="24"/>
        </w:rPr>
        <w:t xml:space="preserve"> u punom obliku</w:t>
      </w:r>
      <w:r w:rsidR="004B0CDF" w:rsidRPr="00E31C99">
        <w:rPr>
          <w:rFonts w:ascii="Times New Roman" w:hAnsi="Times New Roman" w:cs="Times New Roman"/>
          <w:sz w:val="24"/>
          <w:szCs w:val="24"/>
        </w:rPr>
        <w:t xml:space="preserve"> koja glasi: „</w:t>
      </w:r>
      <w:r w:rsidR="004B0CDF" w:rsidRPr="00E31C99">
        <w:rPr>
          <w:rFonts w:ascii="Times New Roman" w:hAnsi="Times New Roman" w:cs="Times New Roman"/>
          <w:bCs/>
          <w:i/>
          <w:iCs/>
          <w:sz w:val="24"/>
          <w:szCs w:val="24"/>
        </w:rPr>
        <w:t>Sufinancira Europska unija</w:t>
      </w:r>
      <w:r w:rsidR="004B0CDF" w:rsidRPr="00E31C99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4B0CDF" w:rsidRPr="00E31C99">
        <w:rPr>
          <w:rFonts w:ascii="Times New Roman" w:hAnsi="Times New Roman" w:cs="Times New Roman"/>
          <w:sz w:val="24"/>
          <w:szCs w:val="24"/>
        </w:rPr>
        <w:t>.</w:t>
      </w:r>
    </w:p>
    <w:p w14:paraId="0EBF7BF6" w14:textId="724D260F" w:rsidR="00E31C99" w:rsidRDefault="00D53B05" w:rsidP="00E31C9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1C99">
        <w:rPr>
          <w:rFonts w:ascii="Times New Roman" w:hAnsi="Times New Roman" w:cs="Times New Roman"/>
          <w:sz w:val="24"/>
          <w:szCs w:val="24"/>
        </w:rPr>
        <w:t xml:space="preserve">Ako </w:t>
      </w:r>
      <w:r w:rsid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E31C99">
        <w:rPr>
          <w:rFonts w:ascii="Times New Roman" w:hAnsi="Times New Roman" w:cs="Times New Roman"/>
          <w:sz w:val="24"/>
          <w:szCs w:val="24"/>
        </w:rPr>
        <w:t>Krajnji primatelj</w:t>
      </w:r>
      <w:r w:rsidR="00943E5D">
        <w:rPr>
          <w:rFonts w:ascii="Times New Roman" w:hAnsi="Times New Roman" w:cs="Times New Roman"/>
          <w:sz w:val="24"/>
          <w:szCs w:val="24"/>
        </w:rPr>
        <w:t xml:space="preserve"> </w:t>
      </w:r>
      <w:r w:rsidR="00E60A08">
        <w:rPr>
          <w:rFonts w:ascii="Times New Roman" w:hAnsi="Times New Roman" w:cs="Times New Roman"/>
          <w:sz w:val="24"/>
          <w:szCs w:val="24"/>
        </w:rPr>
        <w:t>jamstva</w:t>
      </w:r>
      <w:r w:rsidRPr="00E31C99">
        <w:rPr>
          <w:rFonts w:ascii="Times New Roman" w:hAnsi="Times New Roman" w:cs="Times New Roman"/>
          <w:sz w:val="24"/>
          <w:szCs w:val="24"/>
        </w:rPr>
        <w:t xml:space="preserve"> ima odgovarajuću mrežnu stranicu i odgovarajuće tehničke funkcionalnosti, dužan je na istoj objaviti logotip " FINANCIJSKI INSTRUMENTI"</w:t>
      </w:r>
      <w:r w:rsidR="004B0CDF" w:rsidRPr="00E31C99">
        <w:rPr>
          <w:rFonts w:ascii="Times New Roman" w:hAnsi="Times New Roman" w:cs="Times New Roman"/>
          <w:sz w:val="24"/>
          <w:szCs w:val="24"/>
        </w:rPr>
        <w:t xml:space="preserve">, logotip HAMAG-BICRO, </w:t>
      </w:r>
      <w:r w:rsidRPr="00E31C99">
        <w:rPr>
          <w:rFonts w:ascii="Times New Roman" w:hAnsi="Times New Roman" w:cs="Times New Roman"/>
          <w:sz w:val="24"/>
          <w:szCs w:val="24"/>
        </w:rPr>
        <w:t>s pripadajućom izjavom o sufinanciranju</w:t>
      </w:r>
      <w:r w:rsidR="005924D9" w:rsidRPr="00E31C99">
        <w:rPr>
          <w:rFonts w:ascii="Times New Roman" w:hAnsi="Times New Roman" w:cs="Times New Roman"/>
          <w:sz w:val="24"/>
          <w:szCs w:val="24"/>
        </w:rPr>
        <w:t xml:space="preserve"> - </w:t>
      </w:r>
      <w:r w:rsidR="004B0CDF" w:rsidRPr="00E31C99">
        <w:rPr>
          <w:rFonts w:ascii="Times New Roman" w:eastAsia="Batang" w:hAnsi="Times New Roman" w:cs="Times New Roman"/>
          <w:sz w:val="24"/>
          <w:szCs w:val="24"/>
          <w:lang w:eastAsia="hr-HR"/>
        </w:rPr>
        <w:t>„</w:t>
      </w:r>
      <w:bookmarkStart w:id="4" w:name="_Hlk162356372"/>
      <w:r w:rsidR="004B0CDF" w:rsidRPr="00E31C99">
        <w:rPr>
          <w:rFonts w:ascii="Times New Roman" w:eastAsia="Batang" w:hAnsi="Times New Roman" w:cs="Times New Roman"/>
          <w:bCs/>
          <w:i/>
          <w:iCs/>
          <w:sz w:val="24"/>
          <w:szCs w:val="24"/>
          <w:lang w:eastAsia="hr-HR"/>
        </w:rPr>
        <w:t>Sufinancira Europska unija</w:t>
      </w:r>
      <w:bookmarkEnd w:id="4"/>
      <w:r w:rsidR="004B0CDF" w:rsidRPr="00E31C99">
        <w:rPr>
          <w:rFonts w:ascii="Times New Roman" w:eastAsia="Batang" w:hAnsi="Times New Roman" w:cs="Times New Roman"/>
          <w:sz w:val="24"/>
          <w:szCs w:val="24"/>
          <w:lang w:eastAsia="hr-HR"/>
        </w:rPr>
        <w:t>“ uz amblem EU-a</w:t>
      </w:r>
      <w:r w:rsidR="00FF1251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- </w:t>
      </w:r>
      <w:r w:rsidR="00FF1251">
        <w:rPr>
          <w:rFonts w:ascii="Times New Roman" w:eastAsia="Times New Roman" w:hAnsi="Times New Roman"/>
          <w:bCs/>
          <w:sz w:val="24"/>
          <w:szCs w:val="24"/>
        </w:rPr>
        <w:t xml:space="preserve">prema poveznici </w:t>
      </w:r>
      <w:hyperlink r:id="rId7" w:history="1">
        <w:r w:rsidR="00FF1251" w:rsidRPr="00FF1251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https://ec.europa.eu/regional_policy/information-sources/logo-download-center_en</w:t>
        </w:r>
      </w:hyperlink>
      <w:r w:rsidRPr="00E31C99">
        <w:rPr>
          <w:rFonts w:ascii="Times New Roman" w:hAnsi="Times New Roman" w:cs="Times New Roman"/>
          <w:sz w:val="24"/>
          <w:szCs w:val="24"/>
        </w:rPr>
        <w:t>.</w:t>
      </w:r>
    </w:p>
    <w:p w14:paraId="55BF1F4D" w14:textId="589DFDEE" w:rsidR="000375A7" w:rsidRDefault="00E60A08" w:rsidP="00E31C9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0A08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4B0CDF" w:rsidRPr="00E31C9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4B0CDF" w:rsidRPr="00E31C99">
        <w:rPr>
          <w:rFonts w:ascii="Times New Roman" w:hAnsi="Times New Roman" w:cs="Times New Roman"/>
          <w:sz w:val="24"/>
          <w:szCs w:val="24"/>
        </w:rPr>
        <w:t>obvezan je izložiti</w:t>
      </w:r>
      <w:r w:rsidR="000375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0CB924" w14:textId="44E9F64B" w:rsidR="000375A7" w:rsidRPr="000375A7" w:rsidRDefault="000375A7" w:rsidP="00100C06">
      <w:pPr>
        <w:pStyle w:val="ListParagraph"/>
        <w:numPr>
          <w:ilvl w:val="1"/>
          <w:numId w:val="17"/>
        </w:numPr>
        <w:spacing w:after="12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75A7">
        <w:rPr>
          <w:rFonts w:ascii="Times New Roman" w:hAnsi="Times New Roman" w:cs="Times New Roman"/>
          <w:sz w:val="24"/>
          <w:szCs w:val="24"/>
        </w:rPr>
        <w:t>trajn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375A7">
        <w:rPr>
          <w:rFonts w:ascii="Times New Roman" w:hAnsi="Times New Roman" w:cs="Times New Roman"/>
          <w:sz w:val="24"/>
          <w:szCs w:val="24"/>
        </w:rPr>
        <w:t xml:space="preserve"> ploč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375A7">
        <w:rPr>
          <w:rFonts w:ascii="Times New Roman" w:hAnsi="Times New Roman" w:cs="Times New Roman"/>
          <w:sz w:val="24"/>
          <w:szCs w:val="24"/>
        </w:rPr>
        <w:t xml:space="preserve"> ili reklamn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375A7">
        <w:rPr>
          <w:rFonts w:ascii="Times New Roman" w:hAnsi="Times New Roman" w:cs="Times New Roman"/>
          <w:sz w:val="24"/>
          <w:szCs w:val="24"/>
        </w:rPr>
        <w:t xml:space="preserve"> pano o svom trošku na mjestima koja su jasno vidljiva javnosti uz prikazivanje pripadajućeg amblema, u skladu s tehničkim karakteristikama utvrđenim u Prilogu IX Uredbe (EU) 2021/1060, čim započne fizička provedba ulaganja koja uključuju fizička ulaganja ili ugradnju kupljene opreme i čiji ukupni trošak prelazi 500.000 EUR prema poveznici</w:t>
      </w:r>
    </w:p>
    <w:p w14:paraId="588C5337" w14:textId="3CC1F2F7" w:rsidR="000375A7" w:rsidRDefault="000375A7" w:rsidP="00100C06">
      <w:pPr>
        <w:pStyle w:val="ListParagraph"/>
        <w:spacing w:after="120" w:line="36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95437">
          <w:rPr>
            <w:rStyle w:val="Hyperlink"/>
            <w:rFonts w:ascii="Times New Roman" w:hAnsi="Times New Roman" w:cs="Times New Roman"/>
            <w:sz w:val="24"/>
            <w:szCs w:val="24"/>
          </w:rPr>
          <w:t>https://ec.europa.eu/regional_policy/policy/communication/online-generator_e</w:t>
        </w:r>
      </w:hyperlink>
      <w:r w:rsidRPr="000375A7">
        <w:rPr>
          <w:rFonts w:ascii="Times New Roman" w:hAnsi="Times New Roman" w:cs="Times New Roman"/>
          <w:sz w:val="24"/>
          <w:szCs w:val="24"/>
        </w:rPr>
        <w:t>n</w:t>
      </w:r>
    </w:p>
    <w:p w14:paraId="4DE76849" w14:textId="0F394C5A" w:rsidR="004B0CDF" w:rsidRPr="00100C06" w:rsidRDefault="004B0CDF" w:rsidP="00100C06">
      <w:pPr>
        <w:pStyle w:val="ListParagraph"/>
        <w:numPr>
          <w:ilvl w:val="1"/>
          <w:numId w:val="17"/>
        </w:numPr>
        <w:spacing w:after="120" w:line="360" w:lineRule="auto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C06">
        <w:rPr>
          <w:rFonts w:ascii="Times New Roman" w:hAnsi="Times New Roman" w:cs="Times New Roman"/>
          <w:sz w:val="24"/>
          <w:szCs w:val="24"/>
        </w:rPr>
        <w:t>najmanje jedan tiskani plakat veličine najmanje A3 ili ekvivalentnog elektroničkog zaslona s informacijama o operaciji, uz isticanje potpore iz fondova, na mjestu koje je javnosti jasno vidljivo</w:t>
      </w:r>
      <w:r w:rsidR="00FF1251" w:rsidRPr="00100C06">
        <w:rPr>
          <w:rFonts w:ascii="Times New Roman" w:hAnsi="Times New Roman" w:cs="Times New Roman"/>
          <w:sz w:val="24"/>
          <w:szCs w:val="24"/>
        </w:rPr>
        <w:t xml:space="preserve"> </w:t>
      </w:r>
      <w:r w:rsidR="00FF1251" w:rsidRPr="00100C06">
        <w:rPr>
          <w:rFonts w:ascii="Times New Roman" w:eastAsia="Times New Roman" w:hAnsi="Times New Roman"/>
          <w:bCs/>
          <w:sz w:val="24"/>
          <w:szCs w:val="24"/>
        </w:rPr>
        <w:t xml:space="preserve">čim započne fizička provedba ulaganja koja uključuju fizička ulaganja ili ugradnju kupljene opreme prema poveznici: </w:t>
      </w:r>
      <w:r w:rsidR="00FF1251" w:rsidRPr="000375A7">
        <w:rPr>
          <w:rStyle w:val="Hyperlink"/>
          <w:rFonts w:ascii="Times New Roman" w:hAnsi="Times New Roman"/>
          <w:sz w:val="24"/>
          <w:szCs w:val="24"/>
        </w:rPr>
        <w:t>https://ec.europa.eu/regional_policy/policy/communication/online-generator_en</w:t>
      </w:r>
      <w:r w:rsidRPr="00100C06">
        <w:rPr>
          <w:rFonts w:ascii="Times New Roman" w:hAnsi="Times New Roman" w:cs="Times New Roman"/>
          <w:sz w:val="24"/>
          <w:szCs w:val="24"/>
        </w:rPr>
        <w:t>.</w:t>
      </w:r>
    </w:p>
    <w:p w14:paraId="14F18812" w14:textId="77777777" w:rsidR="004B0CDF" w:rsidRDefault="004B0CDF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A3A6C" w14:textId="10FDDFA0" w:rsidR="00AA1ED3" w:rsidRPr="00A83919" w:rsidRDefault="00AA1ED3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19">
        <w:rPr>
          <w:rFonts w:ascii="Times New Roman" w:hAnsi="Times New Roman" w:cs="Times New Roman"/>
          <w:b/>
          <w:sz w:val="24"/>
          <w:szCs w:val="24"/>
        </w:rPr>
        <w:t>Nepravilnosti</w:t>
      </w:r>
    </w:p>
    <w:p w14:paraId="6E5008F0" w14:textId="37EEE275" w:rsidR="00AA1ED3" w:rsidRPr="0020316A" w:rsidRDefault="00943E5D" w:rsidP="00BF71B6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CB67C9" w:rsidRPr="0020316A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CB67C9" w:rsidRPr="0020316A">
        <w:rPr>
          <w:rFonts w:ascii="Times New Roman" w:hAnsi="Times New Roman" w:cs="Times New Roman"/>
          <w:sz w:val="24"/>
          <w:szCs w:val="24"/>
        </w:rPr>
        <w:t>potvrđuje da je upoznat s obvezom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 HAMAG-BICRO</w:t>
      </w:r>
      <w:r w:rsidR="00CB67C9" w:rsidRPr="0020316A">
        <w:rPr>
          <w:rFonts w:ascii="Times New Roman" w:hAnsi="Times New Roman" w:cs="Times New Roman"/>
          <w:sz w:val="24"/>
          <w:szCs w:val="24"/>
        </w:rPr>
        <w:t>-a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 </w:t>
      </w:r>
      <w:r w:rsidR="00CB67C9" w:rsidRPr="0020316A">
        <w:rPr>
          <w:rFonts w:ascii="Times New Roman" w:hAnsi="Times New Roman" w:cs="Times New Roman"/>
          <w:sz w:val="24"/>
          <w:szCs w:val="24"/>
        </w:rPr>
        <w:t xml:space="preserve">da će isti 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bez odgode obavijestiti UT i druga nadležna tijela o bilo kakvoj </w:t>
      </w:r>
      <w:r w:rsidR="00953F3D" w:rsidRPr="0020316A">
        <w:rPr>
          <w:rFonts w:ascii="Times New Roman" w:hAnsi="Times New Roman" w:cs="Times New Roman"/>
          <w:sz w:val="24"/>
          <w:szCs w:val="24"/>
        </w:rPr>
        <w:t>N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epravilnosti koja se dogodila, ili za koju postoji sumnja, u provedbi Financijskih instrumenata sukladno PKK, te </w:t>
      </w:r>
      <w:bookmarkStart w:id="5" w:name="_Hlk524613189"/>
      <w:r w:rsidR="00526AAC" w:rsidRPr="0020316A">
        <w:rPr>
          <w:rFonts w:ascii="Times New Roman" w:hAnsi="Times New Roman" w:cs="Times New Roman"/>
          <w:sz w:val="24"/>
          <w:szCs w:val="24"/>
        </w:rPr>
        <w:t xml:space="preserve">da Krajnji primatelj </w:t>
      </w:r>
      <w:bookmarkEnd w:id="5"/>
      <w:r w:rsidR="00AA1ED3" w:rsidRPr="0020316A">
        <w:rPr>
          <w:rFonts w:ascii="Times New Roman" w:hAnsi="Times New Roman" w:cs="Times New Roman"/>
          <w:sz w:val="24"/>
          <w:szCs w:val="24"/>
        </w:rPr>
        <w:t xml:space="preserve">u skladu s člankom </w:t>
      </w:r>
      <w:r w:rsidR="0020316A" w:rsidRPr="0020316A">
        <w:rPr>
          <w:rFonts w:ascii="Times New Roman" w:hAnsi="Times New Roman" w:cs="Times New Roman"/>
          <w:sz w:val="24"/>
          <w:szCs w:val="24"/>
        </w:rPr>
        <w:t>103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., stavkom </w:t>
      </w:r>
      <w:r w:rsidR="0020316A" w:rsidRPr="0020316A">
        <w:rPr>
          <w:rFonts w:ascii="Times New Roman" w:hAnsi="Times New Roman" w:cs="Times New Roman"/>
          <w:sz w:val="24"/>
          <w:szCs w:val="24"/>
        </w:rPr>
        <w:t>6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. </w:t>
      </w:r>
      <w:r w:rsidR="0020316A" w:rsidRPr="0020316A">
        <w:rPr>
          <w:rFonts w:ascii="Times New Roman" w:hAnsi="Times New Roman" w:cs="Times New Roman"/>
          <w:sz w:val="24"/>
          <w:szCs w:val="24"/>
        </w:rPr>
        <w:t>U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redbe (EU) br. </w:t>
      </w:r>
      <w:r w:rsidR="0020316A" w:rsidRPr="0020316A">
        <w:rPr>
          <w:rFonts w:ascii="Times New Roman" w:hAnsi="Times New Roman" w:cs="Times New Roman"/>
          <w:sz w:val="24"/>
          <w:szCs w:val="24"/>
        </w:rPr>
        <w:t>2021/1060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 </w:t>
      </w:r>
      <w:r w:rsidR="009D108B" w:rsidRPr="0020316A">
        <w:rPr>
          <w:rFonts w:ascii="Times New Roman" w:hAnsi="Times New Roman" w:cs="Times New Roman"/>
          <w:sz w:val="24"/>
          <w:szCs w:val="24"/>
        </w:rPr>
        <w:t>u tom slučaj gubi iznos programskog doprinosa (</w:t>
      </w:r>
      <w:r w:rsidR="009D108B" w:rsidRPr="0020316A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9D108B" w:rsidRPr="0020316A">
        <w:rPr>
          <w:rFonts w:ascii="Times New Roman" w:hAnsi="Times New Roman" w:cs="Times New Roman"/>
          <w:sz w:val="24"/>
          <w:szCs w:val="24"/>
        </w:rPr>
        <w:t xml:space="preserve"> potpora) 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(dalje: Nepravilnost). </w:t>
      </w:r>
    </w:p>
    <w:p w14:paraId="0F73D8E0" w14:textId="6F65BF6B" w:rsidR="00CB67C9" w:rsidRPr="00A83919" w:rsidRDefault="00943E5D" w:rsidP="00BF71B6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CB67C9" w:rsidRPr="00A83919">
        <w:rPr>
          <w:rFonts w:ascii="Times New Roman" w:hAnsi="Times New Roman" w:cs="Times New Roman"/>
          <w:sz w:val="24"/>
          <w:szCs w:val="24"/>
        </w:rPr>
        <w:t>je suglasan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da radi ispunjenja obveze iz prethodnog stavka HAMAG-BICRO ima pravo i obvezu zatražiti sve potrebne podatke i dokumentaciju, napraviti uvide te poduzeti sve odgovarajuće radnje i aktivnosti u odnosu na </w:t>
      </w:r>
      <w:r>
        <w:rPr>
          <w:rFonts w:ascii="Times New Roman" w:hAnsi="Times New Roman" w:cs="Times New Roman"/>
          <w:sz w:val="24"/>
          <w:szCs w:val="24"/>
        </w:rPr>
        <w:t xml:space="preserve">Korisnika kredita / </w:t>
      </w:r>
      <w:r w:rsidR="00AA1ED3" w:rsidRPr="00A83919">
        <w:rPr>
          <w:rFonts w:ascii="Times New Roman" w:hAnsi="Times New Roman" w:cs="Times New Roman"/>
          <w:sz w:val="24"/>
          <w:szCs w:val="24"/>
        </w:rPr>
        <w:t>Krajnjeg primatelja</w:t>
      </w:r>
      <w:r>
        <w:rPr>
          <w:rFonts w:ascii="Times New Roman" w:hAnsi="Times New Roman" w:cs="Times New Roman"/>
          <w:sz w:val="24"/>
          <w:szCs w:val="24"/>
        </w:rPr>
        <w:t xml:space="preserve"> jamstva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i Financijsku instituciju radi utvrđenja ne/postojanja Nepravilnosti te iste proslijediti nadležnim tijelima. </w:t>
      </w:r>
    </w:p>
    <w:p w14:paraId="6A53BC40" w14:textId="77777777" w:rsidR="00AA1ED3" w:rsidRPr="00A83919" w:rsidRDefault="00AA1ED3" w:rsidP="00BF71B6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>Strane su suglasne da radi ispunjenja ove obveze, zatraženi podaci klasificirani kao bankovna ili poslovna tajna moraju biti dostavljeni odnosno otkriveni u najvećem zakonski dopuštenom opsegu kako bi se proveo postupak utvrđivanja Nepravilnosti te kako bi isti, po potrebi, bili proslijeđeni nadležnim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 tijelima</w:t>
      </w:r>
      <w:r w:rsidRPr="00A839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69C9E7" w14:textId="3349727B" w:rsidR="00AA1ED3" w:rsidRPr="00A83919" w:rsidRDefault="00943E5D" w:rsidP="00BF71B6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CB67C9" w:rsidRPr="00A83919">
        <w:rPr>
          <w:rFonts w:ascii="Times New Roman" w:hAnsi="Times New Roman" w:cs="Times New Roman"/>
          <w:sz w:val="24"/>
          <w:szCs w:val="24"/>
        </w:rPr>
        <w:t>Krajnji primatelj</w:t>
      </w:r>
      <w:r>
        <w:rPr>
          <w:rFonts w:ascii="Times New Roman" w:hAnsi="Times New Roman" w:cs="Times New Roman"/>
          <w:sz w:val="24"/>
          <w:szCs w:val="24"/>
        </w:rPr>
        <w:t xml:space="preserve"> jamstva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 potvrđuje da je upoznat s tim da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HAMAG-BICRO 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donosi </w:t>
      </w:r>
      <w:r w:rsidR="00AA1ED3" w:rsidRPr="00A83919">
        <w:rPr>
          <w:rFonts w:ascii="Times New Roman" w:hAnsi="Times New Roman" w:cs="Times New Roman"/>
          <w:sz w:val="24"/>
          <w:szCs w:val="24"/>
        </w:rPr>
        <w:t>odluku o ne/postojanju Nepravilnosti u pisanom obliku po pravilima primjenjivih propisa, te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 da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</w:t>
      </w:r>
      <w:r w:rsidR="00CB67C9" w:rsidRPr="00A83919">
        <w:rPr>
          <w:rFonts w:ascii="Times New Roman" w:hAnsi="Times New Roman" w:cs="Times New Roman"/>
          <w:sz w:val="24"/>
          <w:szCs w:val="24"/>
        </w:rPr>
        <w:t>će o istoj biti obaviješten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na način i u opsegu koji </w:t>
      </w:r>
      <w:r w:rsidR="00501C59" w:rsidRPr="00A83919">
        <w:rPr>
          <w:rFonts w:ascii="Times New Roman" w:hAnsi="Times New Roman" w:cs="Times New Roman"/>
          <w:sz w:val="24"/>
          <w:szCs w:val="24"/>
        </w:rPr>
        <w:t xml:space="preserve">HAMAG-BICRO-u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to dopuštaju relevantni propisi. </w:t>
      </w:r>
    </w:p>
    <w:p w14:paraId="5A7376E9" w14:textId="05FFC749" w:rsidR="00CB67C9" w:rsidRPr="00A83919" w:rsidRDefault="00943E5D" w:rsidP="00BF71B6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A41DB3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A41DB3" w:rsidRPr="00A83919">
        <w:rPr>
          <w:rFonts w:ascii="Times New Roman" w:hAnsi="Times New Roman" w:cs="Times New Roman"/>
          <w:sz w:val="24"/>
          <w:szCs w:val="24"/>
        </w:rPr>
        <w:t>potvrđuje da je upoznat s tim da je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slučaju utvrđenja postojanja Nepravilnosti koja šteti ili bi mogla naštetiti financijskom proračunu EU, HAMAG-BICRO ovlašten odrediti financijsku korekciju Krajnjem primatelju</w:t>
      </w:r>
      <w:r w:rsidR="009D108B" w:rsidRPr="00A83919">
        <w:rPr>
          <w:rFonts w:ascii="Times New Roman" w:hAnsi="Times New Roman" w:cs="Times New Roman"/>
          <w:sz w:val="24"/>
          <w:szCs w:val="24"/>
        </w:rPr>
        <w:t>, odnosno oduzeti dodijeljeni BEP,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te poduzeti sve druge potrebne radnje prema osobama uključenim u aktivnosti temeljem kojih je utvrđena Nepravilnost. </w:t>
      </w:r>
    </w:p>
    <w:p w14:paraId="505DB6DE" w14:textId="7C30E75E" w:rsidR="00E64861" w:rsidRPr="00301795" w:rsidRDefault="00CB67C9" w:rsidP="0030179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Ako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radnjom ili propustom </w:t>
      </w:r>
      <w:r w:rsid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AA1ED3" w:rsidRPr="00A83919">
        <w:rPr>
          <w:rFonts w:ascii="Times New Roman" w:hAnsi="Times New Roman" w:cs="Times New Roman"/>
          <w:sz w:val="24"/>
          <w:szCs w:val="24"/>
        </w:rPr>
        <w:t>Krajnjeg primatelja</w:t>
      </w:r>
      <w:r w:rsidR="00943E5D">
        <w:rPr>
          <w:rFonts w:ascii="Times New Roman" w:hAnsi="Times New Roman" w:cs="Times New Roman"/>
          <w:sz w:val="24"/>
          <w:szCs w:val="24"/>
        </w:rPr>
        <w:t xml:space="preserve"> jamstva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, koja se u propisanom postupku označi kao Nepravilnost, nastane šteta u većem opsegu od onog u kojem bi se ista mogla naknaditi određivanjem financijske korekcije, </w:t>
      </w:r>
      <w:r w:rsid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 w:rsidR="00943E5D">
        <w:rPr>
          <w:rFonts w:ascii="Times New Roman" w:hAnsi="Times New Roman" w:cs="Times New Roman"/>
          <w:sz w:val="24"/>
          <w:szCs w:val="24"/>
        </w:rPr>
        <w:t xml:space="preserve">jamstva </w:t>
      </w:r>
      <w:r w:rsidR="00AA1ED3" w:rsidRPr="00A83919">
        <w:rPr>
          <w:rFonts w:ascii="Times New Roman" w:hAnsi="Times New Roman" w:cs="Times New Roman"/>
          <w:sz w:val="24"/>
          <w:szCs w:val="24"/>
        </w:rPr>
        <w:t>će odgovarati za štetu po općim propisima.</w:t>
      </w:r>
    </w:p>
    <w:p w14:paraId="3E8BCB93" w14:textId="7218086A" w:rsidR="00732CA8" w:rsidRPr="00DB21B9" w:rsidRDefault="00732CA8" w:rsidP="00DB21B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B9">
        <w:rPr>
          <w:rFonts w:ascii="Times New Roman" w:hAnsi="Times New Roman" w:cs="Times New Roman"/>
          <w:b/>
          <w:sz w:val="24"/>
          <w:szCs w:val="24"/>
        </w:rPr>
        <w:t>Izjave</w:t>
      </w:r>
      <w:r w:rsidR="00C874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0D984D" w14:textId="50F78E22" w:rsidR="00732CA8" w:rsidRPr="00A83919" w:rsidRDefault="00943E5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3112BE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732CA8" w:rsidRPr="00A83919">
        <w:rPr>
          <w:rFonts w:ascii="Times New Roman" w:hAnsi="Times New Roman" w:cs="Times New Roman"/>
          <w:sz w:val="24"/>
          <w:szCs w:val="24"/>
        </w:rPr>
        <w:t>izjavljuj</w:t>
      </w:r>
      <w:r w:rsidR="003112BE" w:rsidRPr="00A83919">
        <w:rPr>
          <w:rFonts w:ascii="Times New Roman" w:hAnsi="Times New Roman" w:cs="Times New Roman"/>
          <w:sz w:val="24"/>
          <w:szCs w:val="24"/>
        </w:rPr>
        <w:t>e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pod materijalnom i kaznenom odgovornošću da su podaci u ovom Ugovoru potpuni i istiniti te da </w:t>
      </w:r>
      <w:r w:rsidR="003112BE" w:rsidRPr="00A83919">
        <w:rPr>
          <w:rFonts w:ascii="Times New Roman" w:hAnsi="Times New Roman" w:cs="Times New Roman"/>
          <w:sz w:val="24"/>
          <w:szCs w:val="24"/>
        </w:rPr>
        <w:t>je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upoznat s pravnim posljedicama kaznene odgovornosti za davanje netočnih podataka.</w:t>
      </w:r>
    </w:p>
    <w:p w14:paraId="689889E7" w14:textId="77777777" w:rsidR="00732CA8" w:rsidRPr="00A83919" w:rsidRDefault="00732CA8" w:rsidP="00732CA8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F4B25" w14:textId="77E1DD16" w:rsidR="00732CA8" w:rsidRPr="00A83919" w:rsidRDefault="00943E5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3112BE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732CA8" w:rsidRPr="00A83919">
        <w:rPr>
          <w:rFonts w:ascii="Times New Roman" w:hAnsi="Times New Roman" w:cs="Times New Roman"/>
          <w:sz w:val="24"/>
          <w:szCs w:val="24"/>
        </w:rPr>
        <w:t>potvrđuj</w:t>
      </w:r>
      <w:r w:rsidR="003112BE" w:rsidRPr="00A83919">
        <w:rPr>
          <w:rFonts w:ascii="Times New Roman" w:hAnsi="Times New Roman" w:cs="Times New Roman"/>
          <w:sz w:val="24"/>
          <w:szCs w:val="24"/>
        </w:rPr>
        <w:t>e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kako ulaganje koje je bi bilo predmet financiranja E</w:t>
      </w:r>
      <w:r w:rsidR="00E64861">
        <w:rPr>
          <w:rFonts w:ascii="Times New Roman" w:hAnsi="Times New Roman" w:cs="Times New Roman"/>
          <w:sz w:val="24"/>
          <w:szCs w:val="24"/>
        </w:rPr>
        <w:t>U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financijskim instrumentom nema negativan utjecaj na horizontalne teme koje se odnose na održivi razvoj, zaštitu okoliša, jednake mogućnosti i nediskriminaciju</w:t>
      </w:r>
      <w:r w:rsidR="00FB0DA8">
        <w:rPr>
          <w:rFonts w:ascii="Times New Roman" w:hAnsi="Times New Roman" w:cs="Times New Roman"/>
          <w:sz w:val="24"/>
          <w:szCs w:val="24"/>
        </w:rPr>
        <w:t xml:space="preserve"> odnosno horizontalne teme opisane u čl. 9. Uredbe (EU)</w:t>
      </w:r>
      <w:r w:rsidR="00732CA8" w:rsidRPr="00A83919">
        <w:rPr>
          <w:rFonts w:ascii="Times New Roman" w:hAnsi="Times New Roman" w:cs="Times New Roman"/>
          <w:sz w:val="24"/>
          <w:szCs w:val="24"/>
        </w:rPr>
        <w:t>.</w:t>
      </w:r>
      <w:r w:rsidR="00FB0DA8">
        <w:rPr>
          <w:rFonts w:ascii="Times New Roman" w:hAnsi="Times New Roman" w:cs="Times New Roman"/>
          <w:sz w:val="24"/>
          <w:szCs w:val="24"/>
        </w:rPr>
        <w:t xml:space="preserve"> br. </w:t>
      </w:r>
      <w:r w:rsidR="00902172">
        <w:rPr>
          <w:rFonts w:ascii="Times New Roman" w:hAnsi="Times New Roman" w:cs="Times New Roman"/>
          <w:sz w:val="24"/>
          <w:szCs w:val="24"/>
        </w:rPr>
        <w:t>2021/1060.</w:t>
      </w:r>
    </w:p>
    <w:p w14:paraId="7D229750" w14:textId="77777777" w:rsidR="00732CA8" w:rsidRPr="00A83919" w:rsidRDefault="00732CA8" w:rsidP="00732CA8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46DF8" w14:textId="32DAD6DC" w:rsidR="00974101" w:rsidRDefault="00943E5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732CA8" w:rsidRPr="00A83919">
        <w:rPr>
          <w:rFonts w:ascii="Times New Roman" w:hAnsi="Times New Roman" w:cs="Times New Roman"/>
          <w:sz w:val="24"/>
          <w:szCs w:val="24"/>
        </w:rPr>
        <w:t>potpisom ovog ugovora potvrđuje da nije dobio državnu potporu ili potporu male vrijednosti</w:t>
      </w:r>
      <w:r w:rsidR="00E64861">
        <w:rPr>
          <w:rFonts w:ascii="Times New Roman" w:hAnsi="Times New Roman" w:cs="Times New Roman"/>
          <w:sz w:val="24"/>
          <w:szCs w:val="24"/>
        </w:rPr>
        <w:t xml:space="preserve"> (</w:t>
      </w:r>
      <w:r w:rsidR="00E64861" w:rsidRPr="00E64861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E64861">
        <w:rPr>
          <w:rFonts w:ascii="Times New Roman" w:hAnsi="Times New Roman" w:cs="Times New Roman"/>
          <w:sz w:val="24"/>
          <w:szCs w:val="24"/>
        </w:rPr>
        <w:t>)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za isti opravdani trošak projekta, odnosno nije zatražio, niti će zatražiti potporu kroz financijske instrumente i/ili bespovratne potpore iz E</w:t>
      </w:r>
      <w:r w:rsidR="00E64861">
        <w:rPr>
          <w:rFonts w:ascii="Times New Roman" w:hAnsi="Times New Roman" w:cs="Times New Roman"/>
          <w:sz w:val="24"/>
          <w:szCs w:val="24"/>
        </w:rPr>
        <w:t>U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izvora za isti investicijski projekt unutar jedne operacije.</w:t>
      </w:r>
      <w:bookmarkStart w:id="6" w:name="_Hlk191988328"/>
    </w:p>
    <w:p w14:paraId="30418A5F" w14:textId="77777777" w:rsidR="00974101" w:rsidRDefault="00974101" w:rsidP="00974101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0976A" w14:textId="4A3CD4EF" w:rsidR="005111CB" w:rsidRDefault="00943E5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5111CB" w:rsidRPr="005111CB">
        <w:rPr>
          <w:rFonts w:ascii="Times New Roman" w:hAnsi="Times New Roman" w:cs="Times New Roman"/>
          <w:sz w:val="24"/>
          <w:szCs w:val="24"/>
        </w:rPr>
        <w:t>Krajnji primatelj</w:t>
      </w:r>
      <w:r>
        <w:rPr>
          <w:rFonts w:ascii="Times New Roman" w:hAnsi="Times New Roman" w:cs="Times New Roman"/>
          <w:sz w:val="24"/>
          <w:szCs w:val="24"/>
        </w:rPr>
        <w:t xml:space="preserve"> jamstva </w:t>
      </w:r>
      <w:r w:rsidR="005111CB" w:rsidRPr="005111CB">
        <w:rPr>
          <w:rFonts w:ascii="Times New Roman" w:hAnsi="Times New Roman" w:cs="Times New Roman"/>
          <w:sz w:val="24"/>
          <w:szCs w:val="24"/>
        </w:rPr>
        <w:t xml:space="preserve"> i/ili sudužnici i/ili jamci i/ili založni dužnici izjavljuju kako su upoznati s činjenicom da</w:t>
      </w:r>
      <w:r w:rsidR="005111CB">
        <w:rPr>
          <w:rFonts w:ascii="Times New Roman" w:hAnsi="Times New Roman" w:cs="Times New Roman"/>
          <w:sz w:val="24"/>
          <w:szCs w:val="24"/>
        </w:rPr>
        <w:t xml:space="preserve"> je </w:t>
      </w:r>
      <w:r w:rsidR="004A4077">
        <w:rPr>
          <w:rFonts w:ascii="Times New Roman" w:hAnsi="Times New Roman" w:cs="Times New Roman"/>
          <w:sz w:val="24"/>
          <w:szCs w:val="24"/>
        </w:rPr>
        <w:t xml:space="preserve">Kredit odobren uz </w:t>
      </w:r>
      <w:r w:rsidR="00414964">
        <w:rPr>
          <w:rFonts w:ascii="Times New Roman" w:hAnsi="Times New Roman" w:cs="Times New Roman"/>
          <w:sz w:val="24"/>
          <w:szCs w:val="24"/>
        </w:rPr>
        <w:t>„</w:t>
      </w:r>
      <w:r w:rsidR="004A4077">
        <w:rPr>
          <w:rFonts w:ascii="Times New Roman" w:hAnsi="Times New Roman" w:cs="Times New Roman"/>
          <w:sz w:val="24"/>
          <w:szCs w:val="24"/>
        </w:rPr>
        <w:t>EFRR Portfeljno jamstvo</w:t>
      </w:r>
      <w:r w:rsidR="00414964">
        <w:rPr>
          <w:rFonts w:ascii="Times New Roman" w:hAnsi="Times New Roman" w:cs="Times New Roman"/>
          <w:sz w:val="24"/>
          <w:szCs w:val="24"/>
        </w:rPr>
        <w:t>“</w:t>
      </w:r>
      <w:r w:rsidR="004A4077">
        <w:rPr>
          <w:rFonts w:ascii="Times New Roman" w:hAnsi="Times New Roman" w:cs="Times New Roman"/>
          <w:sz w:val="24"/>
          <w:szCs w:val="24"/>
        </w:rPr>
        <w:t xml:space="preserve"> sve temeljem </w:t>
      </w:r>
      <w:r w:rsidR="004A4077" w:rsidRPr="004A4077">
        <w:rPr>
          <w:rFonts w:ascii="Times New Roman" w:hAnsi="Times New Roman" w:cs="Times New Roman"/>
          <w:sz w:val="24"/>
          <w:szCs w:val="24"/>
        </w:rPr>
        <w:t>Sporazum</w:t>
      </w:r>
      <w:r w:rsidR="004A4077">
        <w:rPr>
          <w:rFonts w:ascii="Times New Roman" w:hAnsi="Times New Roman" w:cs="Times New Roman"/>
          <w:sz w:val="24"/>
          <w:szCs w:val="24"/>
        </w:rPr>
        <w:t>a</w:t>
      </w:r>
      <w:r w:rsidR="004A4077" w:rsidRPr="004A4077">
        <w:rPr>
          <w:rFonts w:ascii="Times New Roman" w:hAnsi="Times New Roman" w:cs="Times New Roman"/>
          <w:sz w:val="24"/>
          <w:szCs w:val="24"/>
        </w:rPr>
        <w:t xml:space="preserve"> </w:t>
      </w:r>
      <w:r w:rsidR="004A4077">
        <w:rPr>
          <w:rFonts w:ascii="Times New Roman" w:hAnsi="Times New Roman" w:cs="Times New Roman"/>
          <w:sz w:val="24"/>
          <w:szCs w:val="24"/>
        </w:rPr>
        <w:t>sklopljen</w:t>
      </w:r>
      <w:r w:rsidR="00414964">
        <w:rPr>
          <w:rFonts w:ascii="Times New Roman" w:hAnsi="Times New Roman" w:cs="Times New Roman"/>
          <w:sz w:val="24"/>
          <w:szCs w:val="24"/>
        </w:rPr>
        <w:t>og</w:t>
      </w:r>
      <w:r w:rsidR="004A4077">
        <w:rPr>
          <w:rFonts w:ascii="Times New Roman" w:hAnsi="Times New Roman" w:cs="Times New Roman"/>
          <w:sz w:val="24"/>
          <w:szCs w:val="24"/>
        </w:rPr>
        <w:t xml:space="preserve"> između HAMAG-BICRO-a i Financijske institucije</w:t>
      </w:r>
      <w:r w:rsidR="00774979">
        <w:rPr>
          <w:rFonts w:ascii="Times New Roman" w:hAnsi="Times New Roman" w:cs="Times New Roman"/>
          <w:sz w:val="24"/>
          <w:szCs w:val="24"/>
        </w:rPr>
        <w:t xml:space="preserve"> dana --. --.----.g., kao i da su upoznati s činjenicom da će isplatom sredstava jamstva Financijska institucija sukladno Sporazumu i </w:t>
      </w:r>
      <w:r w:rsidR="00774979" w:rsidRPr="00E31C99">
        <w:rPr>
          <w:rFonts w:ascii="Times New Roman" w:hAnsi="Times New Roman" w:cs="Times New Roman"/>
          <w:i/>
          <w:iCs/>
          <w:sz w:val="24"/>
          <w:szCs w:val="24"/>
        </w:rPr>
        <w:t>pari passu</w:t>
      </w:r>
      <w:r w:rsidR="00774979">
        <w:rPr>
          <w:rFonts w:ascii="Times New Roman" w:hAnsi="Times New Roman" w:cs="Times New Roman"/>
          <w:sz w:val="24"/>
          <w:szCs w:val="24"/>
        </w:rPr>
        <w:t xml:space="preserve"> modelu provoditi naplatu u svoje ime a za račun HAMAG-BICRO-a</w:t>
      </w:r>
      <w:r w:rsidR="004A4077">
        <w:rPr>
          <w:rFonts w:ascii="Times New Roman" w:hAnsi="Times New Roman" w:cs="Times New Roman"/>
          <w:sz w:val="24"/>
          <w:szCs w:val="24"/>
        </w:rPr>
        <w:t>.</w:t>
      </w:r>
    </w:p>
    <w:p w14:paraId="580CEF0D" w14:textId="77777777" w:rsidR="005111CB" w:rsidRDefault="005111CB" w:rsidP="00974101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79EFF" w14:textId="290A23F5" w:rsidR="00974101" w:rsidRDefault="00943E5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43E5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Korisnik kredita / </w:t>
      </w:r>
      <w:r w:rsidR="005A0522" w:rsidRPr="005A0522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</w:t>
      </w:r>
      <w:r w:rsidR="005A0522" w:rsidRPr="005A05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i/ili sudužnici i/ili jamci i/ili založni dužnic</w:t>
      </w:r>
      <w:r w:rsidR="005A05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i izjavljuju kako su </w:t>
      </w:r>
      <w:bookmarkEnd w:id="6"/>
      <w:r w:rsidR="005A05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upoznati </w:t>
      </w:r>
      <w:r w:rsidR="00F21553">
        <w:rPr>
          <w:rFonts w:ascii="Times New Roman" w:eastAsia="Batang" w:hAnsi="Times New Roman" w:cs="Times New Roman"/>
          <w:sz w:val="24"/>
          <w:szCs w:val="24"/>
          <w:lang w:eastAsia="ko-KR"/>
        </w:rPr>
        <w:t>s činjenicom da t</w:t>
      </w:r>
      <w:r w:rsidR="005A0522" w:rsidRPr="005A0522">
        <w:rPr>
          <w:rFonts w:ascii="Times New Roman" w:eastAsia="Batang" w:hAnsi="Times New Roman" w:cs="Times New Roman"/>
          <w:sz w:val="24"/>
          <w:szCs w:val="24"/>
          <w:lang w:eastAsia="ko-KR"/>
        </w:rPr>
        <w:t>renutkom isplate po jamstvu od strane HAMAG-BICRO-a, na HAMAG-BICRO kao ispunitelja prelaze sve tražbine iz Ugovora o kreditu zajedno sa sporednim pravima, uključujući instrumente osiguranja, i to do visine ukupno isplaćenog iznosa po jamstvu, uvećano za zakonsku zateznu kamatu koja pripada HAMAG-BICRO-u kao ispunitelju, a koja teče od dana isplate po jamstvu do dana podmirenja tražbine HAMAG-BICRO-a kao ispunitelja</w:t>
      </w:r>
      <w:r w:rsidR="0053020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te isti izjavljuju kako su </w:t>
      </w:r>
      <w:r w:rsidR="005A0522" w:rsidRPr="0053020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suglasni s </w:t>
      </w:r>
      <w:r w:rsidR="00530207">
        <w:rPr>
          <w:rFonts w:ascii="Times New Roman" w:eastAsia="Batang" w:hAnsi="Times New Roman" w:cs="Times New Roman"/>
          <w:sz w:val="24"/>
          <w:szCs w:val="24"/>
          <w:lang w:eastAsia="ko-KR"/>
        </w:rPr>
        <w:t>navedenim</w:t>
      </w:r>
      <w:r w:rsidR="005A0522" w:rsidRPr="0053020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te se u tom smislu odriču bilo kakvih prigovora nepostojanja aktivne legitimacije ili nepostojanja pravnog interesa usmjerenih protiv Financijske institucije koja će vršiti naplatu za račun HAMAG-BICRO-a, u eventualnim sudskim, izvansudskim i drugim postupcima koji će se voditi protiv Krajnjeg primatelja i/ili sudužnika i/ili jamaca i/ili založnih dužnika.</w:t>
      </w:r>
    </w:p>
    <w:p w14:paraId="685052EB" w14:textId="77777777" w:rsidR="00974101" w:rsidRDefault="00974101" w:rsidP="00974101">
      <w:pPr>
        <w:pStyle w:val="ListParagraph"/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4CC62081" w14:textId="7DD40DA1" w:rsidR="005A0522" w:rsidRPr="002F0C5A" w:rsidRDefault="00943E5D" w:rsidP="00DB21B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F21553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 </w:t>
      </w:r>
      <w:r w:rsidR="00F21553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i/ili sudužnici i/ili jamci i/ili založni dužnici izjavljuju kako su</w:t>
      </w:r>
      <w:r w:rsidR="005A0522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upoznati i suglasni s odredbama koje se odnose na primjenu </w:t>
      </w:r>
      <w:r w:rsidR="005A0522" w:rsidRPr="00E31C99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pari passu</w:t>
      </w:r>
      <w:r w:rsidR="005A0522" w:rsidRPr="00E31C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modela naplate potraživanja, kao i da su suglasni da Financijska institucija po predmetnom kreditu i pripadajućem jamstvu vrši naplatu u svoje ime i za svoj račun te u svoje ime i za račun HAMAG-BICRO-a i to za ukupan iznos duga te da se u tom smislu odriču bilo kakvih prigovora nepostojanja aktivne legitimacije ili nepostojanja pravnog interesa usmjerenih protiv Financijske institucije koja će vršiti naplatu za račun HAMAG-BICRO-a, u eventualnim sudskim, izvansudskim i drugim postupcima koji će se voditi protiv </w:t>
      </w:r>
      <w:r>
        <w:rPr>
          <w:rFonts w:ascii="Times New Roman" w:hAnsi="Times New Roman" w:cs="Times New Roman"/>
          <w:sz w:val="24"/>
          <w:szCs w:val="24"/>
        </w:rPr>
        <w:t xml:space="preserve">Korisnika kredita / </w:t>
      </w:r>
      <w:r w:rsidR="005A0522" w:rsidRPr="00E31C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Krajnjeg primatelja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jamstva </w:t>
      </w:r>
      <w:r w:rsidR="005A0522" w:rsidRPr="00E31C99">
        <w:rPr>
          <w:rFonts w:ascii="Times New Roman" w:eastAsia="Batang" w:hAnsi="Times New Roman" w:cs="Times New Roman"/>
          <w:sz w:val="24"/>
          <w:szCs w:val="24"/>
          <w:lang w:eastAsia="ko-KR"/>
        </w:rPr>
        <w:t>i/ili sudužnika i/ili jamaca i/ili založnih dužnika.</w:t>
      </w:r>
    </w:p>
    <w:p w14:paraId="5117BC21" w14:textId="77777777" w:rsidR="002F0C5A" w:rsidRPr="002F0C5A" w:rsidRDefault="002F0C5A" w:rsidP="002F0C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EAAFE5" w14:textId="47E0CC1F" w:rsidR="002F0C5A" w:rsidRPr="000E7ABD" w:rsidRDefault="00943E5D" w:rsidP="00916B91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9620827"/>
      <w:bookmarkStart w:id="8" w:name="_Hlk210419817"/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2F0C5A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 </w:t>
      </w:r>
      <w:r w:rsidR="002F0C5A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i/ili sudužnici i/ili jamci i/ili založni dužnici izjavljuju kako su upoznati </w:t>
      </w:r>
      <w:bookmarkEnd w:id="7"/>
      <w:r w:rsidR="002F0C5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s činjenicom ako Financijska institucija nakon isplate jamstva otpiše ili otpusti ili na drugi način zatvori svoje potraživanje temeljem Ugovora </w:t>
      </w:r>
      <w:r w:rsidR="002F0C5A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>o kreditu</w:t>
      </w:r>
      <w:r w:rsidR="00916B91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="002F0C5A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dužna </w:t>
      </w:r>
      <w:r w:rsidR="00916B91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je </w:t>
      </w:r>
      <w:r w:rsidR="002F0C5A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>s</w:t>
      </w:r>
      <w:r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>ve postojeće</w:t>
      </w:r>
      <w:r w:rsidR="002F0C5A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instrumente</w:t>
      </w:r>
      <w:r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osiguranja uzete temeljem Ugovora o kreditu </w:t>
      </w:r>
      <w:r w:rsidR="00E231F6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i dodataka Ugovora o kreditu </w:t>
      </w:r>
      <w:r w:rsidR="00916B91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>prenijeti</w:t>
      </w:r>
      <w:r w:rsid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na HAMAG-BICRO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a sve kako bi HAMAG-BIRCRO nastavio dalje naplatu svoje tražbine po isplaćenom jamstvu za predmetni Ugovor o kreditu.</w:t>
      </w:r>
      <w:r w:rsid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916B91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916B91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 w:rsid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 </w:t>
      </w:r>
      <w:r w:rsidR="00916B91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i/ili sudužnici i/ili jamci i/ili založni dužnici izjavljuju kako </w:t>
      </w:r>
      <w:r w:rsidR="002F0C5A" w:rsidRPr="000E7AB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se u tom smislu odriču bilo kakvih prigovora nepostojanja aktivne legitimacije ili nepostojanja pravnog interesa usmjerenih protiv </w:t>
      </w:r>
      <w:r w:rsidR="00916B91">
        <w:rPr>
          <w:rFonts w:ascii="Times New Roman" w:eastAsia="Batang" w:hAnsi="Times New Roman" w:cs="Times New Roman"/>
          <w:sz w:val="24"/>
          <w:szCs w:val="24"/>
          <w:lang w:eastAsia="ko-KR"/>
        </w:rPr>
        <w:t>HAMAG-BICRO-a</w:t>
      </w:r>
      <w:r w:rsidR="002F0C5A" w:rsidRPr="000E7AB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koj</w:t>
      </w:r>
      <w:r w:rsidR="00916B91">
        <w:rPr>
          <w:rFonts w:ascii="Times New Roman" w:eastAsia="Batang" w:hAnsi="Times New Roman" w:cs="Times New Roman"/>
          <w:sz w:val="24"/>
          <w:szCs w:val="24"/>
          <w:lang w:eastAsia="ko-KR"/>
        </w:rPr>
        <w:t>i</w:t>
      </w:r>
      <w:r w:rsidR="002F0C5A" w:rsidRP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će vršiti naplatu </w:t>
      </w:r>
      <w:r w:rsidR="00916B91">
        <w:rPr>
          <w:rFonts w:ascii="Times New Roman" w:eastAsia="Batang" w:hAnsi="Times New Roman" w:cs="Times New Roman"/>
          <w:sz w:val="24"/>
          <w:szCs w:val="24"/>
          <w:lang w:eastAsia="ko-KR"/>
        </w:rPr>
        <w:t>svoje tražbine po isplaćenom jamstvu</w:t>
      </w:r>
      <w:r w:rsidR="002F0C5A" w:rsidRPr="000E7AB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u eventualnim sudskim, izvansudskim i drugim postupcima koji će se voditi protiv </w:t>
      </w:r>
      <w:r w:rsid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Korisnika kredita / </w:t>
      </w:r>
      <w:r w:rsidR="002F0C5A" w:rsidRPr="000E7ABD">
        <w:rPr>
          <w:rFonts w:ascii="Times New Roman" w:eastAsia="Batang" w:hAnsi="Times New Roman" w:cs="Times New Roman"/>
          <w:sz w:val="24"/>
          <w:szCs w:val="24"/>
          <w:lang w:eastAsia="ko-KR"/>
        </w:rPr>
        <w:t>Krajnjeg primatelja i/ili sudužnika i/ili jamaca i/ili založnih dužnika.</w:t>
      </w:r>
    </w:p>
    <w:p w14:paraId="46080529" w14:textId="77777777" w:rsidR="00916B91" w:rsidRPr="000E7ABD" w:rsidRDefault="00916B91" w:rsidP="000E7A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FF34F7" w14:textId="5C2190C0" w:rsidR="00916B91" w:rsidRPr="00916B91" w:rsidRDefault="00916B91" w:rsidP="00C60EB3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 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izjavljuj</w:t>
      </w:r>
      <w:r w:rsidR="00C60EB3">
        <w:rPr>
          <w:rFonts w:ascii="Times New Roman" w:eastAsia="Batang" w:hAnsi="Times New Roman" w:cs="Times New Roman"/>
          <w:sz w:val="24"/>
          <w:szCs w:val="24"/>
          <w:lang w:eastAsia="ko-KR"/>
        </w:rPr>
        <w:t>e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kako </w:t>
      </w:r>
      <w:r w:rsidR="00C60EB3">
        <w:rPr>
          <w:rFonts w:ascii="Times New Roman" w:eastAsia="Batang" w:hAnsi="Times New Roman" w:cs="Times New Roman"/>
          <w:sz w:val="24"/>
          <w:szCs w:val="24"/>
          <w:lang w:eastAsia="ko-KR"/>
        </w:rPr>
        <w:t>je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upoznat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s činjenicom da z</w:t>
      </w:r>
      <w:r w:rsidRP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a vrijeme trajanja Ugovora o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kreditu</w:t>
      </w:r>
      <w:r w:rsidRP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odnosno za vrijeme trajanja otplate kredita u obvezi je sljedeće:</w:t>
      </w:r>
    </w:p>
    <w:p w14:paraId="39D1C3E9" w14:textId="77777777" w:rsidR="00916B91" w:rsidRPr="000E7ABD" w:rsidRDefault="00916B91" w:rsidP="000E7ABD">
      <w:pPr>
        <w:pStyle w:val="ListParagraph"/>
        <w:numPr>
          <w:ilvl w:val="0"/>
          <w:numId w:val="20"/>
        </w:numPr>
        <w:spacing w:after="12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0E7ABD">
        <w:rPr>
          <w:rFonts w:ascii="Times New Roman" w:eastAsia="Batang" w:hAnsi="Times New Roman" w:cs="Times New Roman"/>
          <w:sz w:val="24"/>
          <w:szCs w:val="24"/>
          <w:lang w:eastAsia="ko-KR"/>
        </w:rPr>
        <w:t>Ishoditi sve potrebne dozvole propisane važećim propisima Republike Hrvatske;</w:t>
      </w:r>
    </w:p>
    <w:p w14:paraId="3F55854E" w14:textId="77777777" w:rsidR="00916B91" w:rsidRPr="00E73E38" w:rsidRDefault="00916B91" w:rsidP="000E7ABD">
      <w:pPr>
        <w:pStyle w:val="ListParagraph"/>
        <w:numPr>
          <w:ilvl w:val="0"/>
          <w:numId w:val="20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U svom poslovanju postupati u skladu sa svim zakonskim i podzakonskim propisima, odlukama i uputama te naredbama i drugim aktima nadležnih tijela koji se odnose na njihovo poslovanje, zaštitu okoliša, zdravlje i zaštitu ljudi i </w:t>
      </w:r>
      <w:r w:rsidRPr="00E73E38">
        <w:rPr>
          <w:rFonts w:ascii="Times New Roman" w:eastAsia="Batang" w:hAnsi="Times New Roman" w:cs="Times New Roman"/>
          <w:sz w:val="24"/>
          <w:szCs w:val="24"/>
          <w:lang w:eastAsia="ko-KR"/>
        </w:rPr>
        <w:t>imovine;</w:t>
      </w:r>
    </w:p>
    <w:p w14:paraId="78C39BCA" w14:textId="540553A3" w:rsidR="00916B91" w:rsidRPr="00E73E38" w:rsidRDefault="00916B91" w:rsidP="00916B91">
      <w:pPr>
        <w:pStyle w:val="ListParagraph"/>
        <w:numPr>
          <w:ilvl w:val="0"/>
          <w:numId w:val="20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73E38">
        <w:rPr>
          <w:rFonts w:ascii="Times New Roman" w:eastAsia="Batang" w:hAnsi="Times New Roman" w:cs="Times New Roman"/>
          <w:sz w:val="24"/>
          <w:szCs w:val="24"/>
          <w:lang w:eastAsia="ko-KR"/>
        </w:rPr>
        <w:t>Zabrane isplate pozajmica i dobiti za vrijeme otplate kredita bez izričite pisane suglasnosti HAMAG-BICRO-a;</w:t>
      </w:r>
    </w:p>
    <w:p w14:paraId="45B82FA1" w14:textId="5F584DDB" w:rsidR="00916B91" w:rsidRPr="00E73E38" w:rsidRDefault="00916B91" w:rsidP="00916B91">
      <w:pPr>
        <w:pStyle w:val="ListParagraph"/>
        <w:numPr>
          <w:ilvl w:val="0"/>
          <w:numId w:val="20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73E38">
        <w:rPr>
          <w:rFonts w:ascii="Times New Roman" w:eastAsia="Batang" w:hAnsi="Times New Roman" w:cs="Times New Roman"/>
          <w:sz w:val="24"/>
          <w:szCs w:val="24"/>
          <w:lang w:eastAsia="ko-KR"/>
        </w:rPr>
        <w:t>Zabrane povrata pozajmica vlasniku i povezanim osobama za vrijeme otplate kredita bez izričite pisane suglasnosti HAMAG-BICRO-a. Razina primljenih pozajmica u periodu otplate kredita ne smije biti manja od stanja istih prilikom odobrenja kredita uz jamstvo HAMAG-BICRO-a;</w:t>
      </w:r>
    </w:p>
    <w:bookmarkEnd w:id="8"/>
    <w:p w14:paraId="1A64E23D" w14:textId="26B8B740" w:rsidR="00EF5AA5" w:rsidRPr="0099514B" w:rsidRDefault="00EF5AA5" w:rsidP="00DB21B9">
      <w:pPr>
        <w:spacing w:after="12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EF5AA5" w:rsidRPr="009951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E6C6" w14:textId="77777777" w:rsidR="00DB129F" w:rsidRDefault="00DB129F" w:rsidP="00B347C4">
      <w:pPr>
        <w:spacing w:after="0" w:line="240" w:lineRule="auto"/>
      </w:pPr>
      <w:r>
        <w:separator/>
      </w:r>
    </w:p>
  </w:endnote>
  <w:endnote w:type="continuationSeparator" w:id="0">
    <w:p w14:paraId="2FF3360A" w14:textId="77777777" w:rsidR="00DB129F" w:rsidRDefault="00DB129F" w:rsidP="00B3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308724"/>
      <w:docPartObj>
        <w:docPartGallery w:val="Page Numbers (Bottom of Page)"/>
        <w:docPartUnique/>
      </w:docPartObj>
    </w:sdtPr>
    <w:sdtEndPr/>
    <w:sdtContent>
      <w:p w14:paraId="4A990A7C" w14:textId="37B36AE6" w:rsidR="00F92D30" w:rsidRDefault="00F92D3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79A39" w14:textId="77777777" w:rsidR="00F92D30" w:rsidRDefault="00F92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B9F7" w14:textId="77777777" w:rsidR="00DB129F" w:rsidRDefault="00DB129F" w:rsidP="00B347C4">
      <w:pPr>
        <w:spacing w:after="0" w:line="240" w:lineRule="auto"/>
      </w:pPr>
      <w:r>
        <w:separator/>
      </w:r>
    </w:p>
  </w:footnote>
  <w:footnote w:type="continuationSeparator" w:id="0">
    <w:p w14:paraId="22F6FC66" w14:textId="77777777" w:rsidR="00DB129F" w:rsidRDefault="00DB129F" w:rsidP="00B3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48D1" w14:textId="142512A8" w:rsidR="00B347C4" w:rsidRPr="001F3370" w:rsidRDefault="00B347C4">
    <w:pPr>
      <w:pStyle w:val="Header"/>
      <w:rPr>
        <w:rFonts w:ascii="Times New Roman" w:hAnsi="Times New Roman" w:cs="Times New Roman"/>
        <w:sz w:val="20"/>
        <w:szCs w:val="20"/>
      </w:rPr>
    </w:pPr>
    <w:r w:rsidRPr="001F3370">
      <w:rPr>
        <w:rFonts w:ascii="Times New Roman" w:eastAsia="Batang" w:hAnsi="Times New Roman" w:cs="Times New Roman"/>
        <w:b/>
        <w:sz w:val="20"/>
        <w:szCs w:val="20"/>
        <w:lang w:eastAsia="hr-HR"/>
      </w:rPr>
      <w:t xml:space="preserve">PRILOG </w:t>
    </w:r>
    <w:r w:rsidR="000710C9">
      <w:rPr>
        <w:rFonts w:ascii="Times New Roman" w:eastAsia="Batang" w:hAnsi="Times New Roman" w:cs="Times New Roman"/>
        <w:b/>
        <w:sz w:val="20"/>
        <w:szCs w:val="20"/>
        <w:lang w:eastAsia="hr-HR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0C8"/>
    <w:multiLevelType w:val="hybridMultilevel"/>
    <w:tmpl w:val="355EA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3C73"/>
    <w:multiLevelType w:val="hybridMultilevel"/>
    <w:tmpl w:val="75DC0982"/>
    <w:lvl w:ilvl="0" w:tplc="E7842EB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BA0EB1"/>
    <w:multiLevelType w:val="hybridMultilevel"/>
    <w:tmpl w:val="98265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295"/>
    <w:multiLevelType w:val="hybridMultilevel"/>
    <w:tmpl w:val="12BCFB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44D"/>
    <w:multiLevelType w:val="hybridMultilevel"/>
    <w:tmpl w:val="537AC922"/>
    <w:lvl w:ilvl="0" w:tplc="49B4D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D7949"/>
    <w:multiLevelType w:val="hybridMultilevel"/>
    <w:tmpl w:val="8C9A84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8F2"/>
    <w:multiLevelType w:val="hybridMultilevel"/>
    <w:tmpl w:val="EBE6947C"/>
    <w:lvl w:ilvl="0" w:tplc="49B4D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408E"/>
    <w:multiLevelType w:val="hybridMultilevel"/>
    <w:tmpl w:val="DD42E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B2E01"/>
    <w:multiLevelType w:val="hybridMultilevel"/>
    <w:tmpl w:val="52CCE62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426FF5"/>
    <w:multiLevelType w:val="hybridMultilevel"/>
    <w:tmpl w:val="A10E0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A59FA"/>
    <w:multiLevelType w:val="hybridMultilevel"/>
    <w:tmpl w:val="4B845C0E"/>
    <w:lvl w:ilvl="0" w:tplc="F418D918">
      <w:start w:val="1"/>
      <w:numFmt w:val="lowerLetter"/>
      <w:lvlText w:val="%1)"/>
      <w:lvlJc w:val="left"/>
      <w:pPr>
        <w:ind w:left="720" w:hanging="360"/>
      </w:pPr>
    </w:lvl>
    <w:lvl w:ilvl="1" w:tplc="19C033CC">
      <w:start w:val="1"/>
      <w:numFmt w:val="lowerLetter"/>
      <w:lvlText w:val="%2)"/>
      <w:lvlJc w:val="left"/>
      <w:pPr>
        <w:ind w:left="720" w:hanging="360"/>
      </w:pPr>
    </w:lvl>
    <w:lvl w:ilvl="2" w:tplc="96606E0A">
      <w:start w:val="1"/>
      <w:numFmt w:val="lowerLetter"/>
      <w:lvlText w:val="%3)"/>
      <w:lvlJc w:val="left"/>
      <w:pPr>
        <w:ind w:left="720" w:hanging="360"/>
      </w:pPr>
    </w:lvl>
    <w:lvl w:ilvl="3" w:tplc="E0826C24">
      <w:start w:val="1"/>
      <w:numFmt w:val="lowerLetter"/>
      <w:lvlText w:val="%4)"/>
      <w:lvlJc w:val="left"/>
      <w:pPr>
        <w:ind w:left="720" w:hanging="360"/>
      </w:pPr>
    </w:lvl>
    <w:lvl w:ilvl="4" w:tplc="3E7C69AC">
      <w:start w:val="1"/>
      <w:numFmt w:val="lowerLetter"/>
      <w:lvlText w:val="%5)"/>
      <w:lvlJc w:val="left"/>
      <w:pPr>
        <w:ind w:left="720" w:hanging="360"/>
      </w:pPr>
    </w:lvl>
    <w:lvl w:ilvl="5" w:tplc="5936CFC2">
      <w:start w:val="1"/>
      <w:numFmt w:val="lowerLetter"/>
      <w:lvlText w:val="%6)"/>
      <w:lvlJc w:val="left"/>
      <w:pPr>
        <w:ind w:left="720" w:hanging="360"/>
      </w:pPr>
    </w:lvl>
    <w:lvl w:ilvl="6" w:tplc="02D4BB6E">
      <w:start w:val="1"/>
      <w:numFmt w:val="lowerLetter"/>
      <w:lvlText w:val="%7)"/>
      <w:lvlJc w:val="left"/>
      <w:pPr>
        <w:ind w:left="720" w:hanging="360"/>
      </w:pPr>
    </w:lvl>
    <w:lvl w:ilvl="7" w:tplc="F0D4B836">
      <w:start w:val="1"/>
      <w:numFmt w:val="lowerLetter"/>
      <w:lvlText w:val="%8)"/>
      <w:lvlJc w:val="left"/>
      <w:pPr>
        <w:ind w:left="720" w:hanging="360"/>
      </w:pPr>
    </w:lvl>
    <w:lvl w:ilvl="8" w:tplc="64BC00D2">
      <w:start w:val="1"/>
      <w:numFmt w:val="lowerLetter"/>
      <w:lvlText w:val="%9)"/>
      <w:lvlJc w:val="left"/>
      <w:pPr>
        <w:ind w:left="720" w:hanging="360"/>
      </w:pPr>
    </w:lvl>
  </w:abstractNum>
  <w:abstractNum w:abstractNumId="11" w15:restartNumberingAfterBreak="0">
    <w:nsid w:val="3AD2528D"/>
    <w:multiLevelType w:val="hybridMultilevel"/>
    <w:tmpl w:val="F3C4298C"/>
    <w:lvl w:ilvl="0" w:tplc="553408D0">
      <w:start w:val="1"/>
      <w:numFmt w:val="bullet"/>
      <w:lvlText w:val="-"/>
      <w:lvlJc w:val="left"/>
      <w:pPr>
        <w:ind w:left="2856" w:hanging="360"/>
      </w:pPr>
      <w:rPr>
        <w:rFonts w:ascii="Symbol" w:eastAsiaTheme="minorHAnsi" w:hAnsi="Symbol" w:cstheme="minorBidi" w:hint="default"/>
      </w:rPr>
    </w:lvl>
    <w:lvl w:ilvl="1" w:tplc="B2CA9C6E">
      <w:start w:val="1"/>
      <w:numFmt w:val="decimal"/>
      <w:pStyle w:val="Style1"/>
      <w:suff w:val="nothing"/>
      <w:lvlText w:val="Članak %2."/>
      <w:lvlJc w:val="center"/>
      <w:pPr>
        <w:ind w:left="560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24428470">
      <w:start w:val="1"/>
      <w:numFmt w:val="decimal"/>
      <w:lvlText w:val="(%3)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BC57F4"/>
    <w:multiLevelType w:val="hybridMultilevel"/>
    <w:tmpl w:val="05781228"/>
    <w:lvl w:ilvl="0" w:tplc="1660CC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606F3"/>
    <w:multiLevelType w:val="hybridMultilevel"/>
    <w:tmpl w:val="6E842ED0"/>
    <w:lvl w:ilvl="0" w:tplc="49B4D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77CD7"/>
    <w:multiLevelType w:val="hybridMultilevel"/>
    <w:tmpl w:val="29A87A28"/>
    <w:lvl w:ilvl="0" w:tplc="49B4D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04E28"/>
    <w:multiLevelType w:val="hybridMultilevel"/>
    <w:tmpl w:val="C5447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946EB"/>
    <w:multiLevelType w:val="hybridMultilevel"/>
    <w:tmpl w:val="CCB83AE2"/>
    <w:lvl w:ilvl="0" w:tplc="6E2ADABE">
      <w:start w:val="1"/>
      <w:numFmt w:val="decimal"/>
      <w:lvlText w:val="%1)"/>
      <w:lvlJc w:val="left"/>
      <w:pPr>
        <w:ind w:left="1440" w:hanging="360"/>
      </w:pPr>
    </w:lvl>
    <w:lvl w:ilvl="1" w:tplc="363A9D1A">
      <w:start w:val="1"/>
      <w:numFmt w:val="decimal"/>
      <w:lvlText w:val="%2)"/>
      <w:lvlJc w:val="left"/>
      <w:pPr>
        <w:ind w:left="1440" w:hanging="360"/>
      </w:pPr>
    </w:lvl>
    <w:lvl w:ilvl="2" w:tplc="927C1B6C">
      <w:start w:val="1"/>
      <w:numFmt w:val="decimal"/>
      <w:lvlText w:val="%3)"/>
      <w:lvlJc w:val="left"/>
      <w:pPr>
        <w:ind w:left="1440" w:hanging="360"/>
      </w:pPr>
    </w:lvl>
    <w:lvl w:ilvl="3" w:tplc="7D48ADD6">
      <w:start w:val="1"/>
      <w:numFmt w:val="decimal"/>
      <w:lvlText w:val="%4)"/>
      <w:lvlJc w:val="left"/>
      <w:pPr>
        <w:ind w:left="1440" w:hanging="360"/>
      </w:pPr>
    </w:lvl>
    <w:lvl w:ilvl="4" w:tplc="86A25414">
      <w:start w:val="1"/>
      <w:numFmt w:val="decimal"/>
      <w:lvlText w:val="%5)"/>
      <w:lvlJc w:val="left"/>
      <w:pPr>
        <w:ind w:left="1440" w:hanging="360"/>
      </w:pPr>
    </w:lvl>
    <w:lvl w:ilvl="5" w:tplc="1E9C9EFC">
      <w:start w:val="1"/>
      <w:numFmt w:val="decimal"/>
      <w:lvlText w:val="%6)"/>
      <w:lvlJc w:val="left"/>
      <w:pPr>
        <w:ind w:left="1440" w:hanging="360"/>
      </w:pPr>
    </w:lvl>
    <w:lvl w:ilvl="6" w:tplc="AFCE022A">
      <w:start w:val="1"/>
      <w:numFmt w:val="decimal"/>
      <w:lvlText w:val="%7)"/>
      <w:lvlJc w:val="left"/>
      <w:pPr>
        <w:ind w:left="1440" w:hanging="360"/>
      </w:pPr>
    </w:lvl>
    <w:lvl w:ilvl="7" w:tplc="87C8699C">
      <w:start w:val="1"/>
      <w:numFmt w:val="decimal"/>
      <w:lvlText w:val="%8)"/>
      <w:lvlJc w:val="left"/>
      <w:pPr>
        <w:ind w:left="1440" w:hanging="360"/>
      </w:pPr>
    </w:lvl>
    <w:lvl w:ilvl="8" w:tplc="F366476A">
      <w:start w:val="1"/>
      <w:numFmt w:val="decimal"/>
      <w:lvlText w:val="%9)"/>
      <w:lvlJc w:val="left"/>
      <w:pPr>
        <w:ind w:left="1440" w:hanging="360"/>
      </w:pPr>
    </w:lvl>
  </w:abstractNum>
  <w:abstractNum w:abstractNumId="17" w15:restartNumberingAfterBreak="0">
    <w:nsid w:val="709E1D8A"/>
    <w:multiLevelType w:val="hybridMultilevel"/>
    <w:tmpl w:val="FF2E30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A700DA"/>
    <w:multiLevelType w:val="hybridMultilevel"/>
    <w:tmpl w:val="10E45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2645">
    <w:abstractNumId w:val="0"/>
  </w:num>
  <w:num w:numId="2" w16cid:durableId="904684001">
    <w:abstractNumId w:val="6"/>
  </w:num>
  <w:num w:numId="3" w16cid:durableId="1024332213">
    <w:abstractNumId w:val="5"/>
  </w:num>
  <w:num w:numId="4" w16cid:durableId="1754665932">
    <w:abstractNumId w:val="13"/>
  </w:num>
  <w:num w:numId="5" w16cid:durableId="1097166423">
    <w:abstractNumId w:val="4"/>
  </w:num>
  <w:num w:numId="6" w16cid:durableId="793523179">
    <w:abstractNumId w:val="9"/>
  </w:num>
  <w:num w:numId="7" w16cid:durableId="1256598413">
    <w:abstractNumId w:val="14"/>
  </w:num>
  <w:num w:numId="8" w16cid:durableId="1895894880">
    <w:abstractNumId w:val="7"/>
  </w:num>
  <w:num w:numId="9" w16cid:durableId="84233105">
    <w:abstractNumId w:val="15"/>
  </w:num>
  <w:num w:numId="10" w16cid:durableId="384723932">
    <w:abstractNumId w:val="11"/>
  </w:num>
  <w:num w:numId="11" w16cid:durableId="1579558302">
    <w:abstractNumId w:val="18"/>
  </w:num>
  <w:num w:numId="12" w16cid:durableId="330790889">
    <w:abstractNumId w:val="17"/>
  </w:num>
  <w:num w:numId="13" w16cid:durableId="481586963">
    <w:abstractNumId w:val="16"/>
  </w:num>
  <w:num w:numId="14" w16cid:durableId="1984389190">
    <w:abstractNumId w:val="10"/>
  </w:num>
  <w:num w:numId="15" w16cid:durableId="913856447">
    <w:abstractNumId w:val="1"/>
  </w:num>
  <w:num w:numId="16" w16cid:durableId="1439909715">
    <w:abstractNumId w:val="3"/>
  </w:num>
  <w:num w:numId="17" w16cid:durableId="1965308239">
    <w:abstractNumId w:val="12"/>
  </w:num>
  <w:num w:numId="18" w16cid:durableId="161700436">
    <w:abstractNumId w:val="2"/>
  </w:num>
  <w:num w:numId="19" w16cid:durableId="2024933882">
    <w:abstractNumId w:val="2"/>
  </w:num>
  <w:num w:numId="20" w16cid:durableId="1355810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5F"/>
    <w:rsid w:val="00001A56"/>
    <w:rsid w:val="000375A7"/>
    <w:rsid w:val="00041229"/>
    <w:rsid w:val="000710C9"/>
    <w:rsid w:val="0008757F"/>
    <w:rsid w:val="000926EE"/>
    <w:rsid w:val="000E56B3"/>
    <w:rsid w:val="000E7ABD"/>
    <w:rsid w:val="00100C06"/>
    <w:rsid w:val="00137692"/>
    <w:rsid w:val="00172848"/>
    <w:rsid w:val="00187BAE"/>
    <w:rsid w:val="001C52E5"/>
    <w:rsid w:val="001E4E5F"/>
    <w:rsid w:val="001F3370"/>
    <w:rsid w:val="001F5C89"/>
    <w:rsid w:val="0020316A"/>
    <w:rsid w:val="00207EEC"/>
    <w:rsid w:val="00220224"/>
    <w:rsid w:val="002B2134"/>
    <w:rsid w:val="002C27C9"/>
    <w:rsid w:val="002D0AEF"/>
    <w:rsid w:val="002F0C5A"/>
    <w:rsid w:val="00301795"/>
    <w:rsid w:val="003112BE"/>
    <w:rsid w:val="003D6BB7"/>
    <w:rsid w:val="00414964"/>
    <w:rsid w:val="004268B5"/>
    <w:rsid w:val="00430AD4"/>
    <w:rsid w:val="00435BBB"/>
    <w:rsid w:val="00437EEF"/>
    <w:rsid w:val="004A4077"/>
    <w:rsid w:val="004B0CDF"/>
    <w:rsid w:val="004F7849"/>
    <w:rsid w:val="00501C59"/>
    <w:rsid w:val="0050434B"/>
    <w:rsid w:val="00507671"/>
    <w:rsid w:val="005111CB"/>
    <w:rsid w:val="005116E6"/>
    <w:rsid w:val="005164DF"/>
    <w:rsid w:val="00526AAC"/>
    <w:rsid w:val="00530207"/>
    <w:rsid w:val="00554B85"/>
    <w:rsid w:val="00561939"/>
    <w:rsid w:val="00573C0B"/>
    <w:rsid w:val="005924D9"/>
    <w:rsid w:val="005A0522"/>
    <w:rsid w:val="005A2841"/>
    <w:rsid w:val="005A73A2"/>
    <w:rsid w:val="00646062"/>
    <w:rsid w:val="006478A2"/>
    <w:rsid w:val="006B3A2A"/>
    <w:rsid w:val="00732CA8"/>
    <w:rsid w:val="00752EE2"/>
    <w:rsid w:val="00762088"/>
    <w:rsid w:val="00774979"/>
    <w:rsid w:val="007A7503"/>
    <w:rsid w:val="00813A07"/>
    <w:rsid w:val="00865A77"/>
    <w:rsid w:val="008A2184"/>
    <w:rsid w:val="008D4AE4"/>
    <w:rsid w:val="008D5181"/>
    <w:rsid w:val="008F25D1"/>
    <w:rsid w:val="008F3948"/>
    <w:rsid w:val="00902172"/>
    <w:rsid w:val="00916B91"/>
    <w:rsid w:val="00930205"/>
    <w:rsid w:val="00943E5D"/>
    <w:rsid w:val="00953F3D"/>
    <w:rsid w:val="00974101"/>
    <w:rsid w:val="00975DF8"/>
    <w:rsid w:val="0099514B"/>
    <w:rsid w:val="009A4E28"/>
    <w:rsid w:val="009D108B"/>
    <w:rsid w:val="009D2228"/>
    <w:rsid w:val="009E0A5F"/>
    <w:rsid w:val="009E40F6"/>
    <w:rsid w:val="009F5935"/>
    <w:rsid w:val="00A12CDE"/>
    <w:rsid w:val="00A41DB3"/>
    <w:rsid w:val="00A57F23"/>
    <w:rsid w:val="00A83919"/>
    <w:rsid w:val="00AA1ED3"/>
    <w:rsid w:val="00AA26DE"/>
    <w:rsid w:val="00AD12C7"/>
    <w:rsid w:val="00AF144F"/>
    <w:rsid w:val="00B050AB"/>
    <w:rsid w:val="00B347C4"/>
    <w:rsid w:val="00B3523D"/>
    <w:rsid w:val="00B51A9D"/>
    <w:rsid w:val="00B62167"/>
    <w:rsid w:val="00B71DAC"/>
    <w:rsid w:val="00BA092E"/>
    <w:rsid w:val="00BA2B15"/>
    <w:rsid w:val="00BB22CB"/>
    <w:rsid w:val="00BF71B6"/>
    <w:rsid w:val="00C152F9"/>
    <w:rsid w:val="00C53C8C"/>
    <w:rsid w:val="00C60EB3"/>
    <w:rsid w:val="00C77F69"/>
    <w:rsid w:val="00C874AD"/>
    <w:rsid w:val="00CB67C9"/>
    <w:rsid w:val="00CD0715"/>
    <w:rsid w:val="00D1219B"/>
    <w:rsid w:val="00D53B05"/>
    <w:rsid w:val="00DB129F"/>
    <w:rsid w:val="00DB2109"/>
    <w:rsid w:val="00DB21B9"/>
    <w:rsid w:val="00DD6CE7"/>
    <w:rsid w:val="00E231F6"/>
    <w:rsid w:val="00E31C99"/>
    <w:rsid w:val="00E60A08"/>
    <w:rsid w:val="00E64861"/>
    <w:rsid w:val="00E73E38"/>
    <w:rsid w:val="00EF5AA5"/>
    <w:rsid w:val="00F0073D"/>
    <w:rsid w:val="00F13F73"/>
    <w:rsid w:val="00F21553"/>
    <w:rsid w:val="00F81101"/>
    <w:rsid w:val="00F92D30"/>
    <w:rsid w:val="00FA39D4"/>
    <w:rsid w:val="00FA5366"/>
    <w:rsid w:val="00FA7B83"/>
    <w:rsid w:val="00FB0DA8"/>
    <w:rsid w:val="00FE02C3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4686"/>
  <w15:chartTrackingRefBased/>
  <w15:docId w15:val="{DE0FF1EE-3544-4FB4-B48D-1221F6E8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E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4E5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E4E5F"/>
  </w:style>
  <w:style w:type="character" w:styleId="CommentReference">
    <w:name w:val="annotation reference"/>
    <w:basedOn w:val="DefaultParagraphFont"/>
    <w:unhideWhenUsed/>
    <w:rsid w:val="008D4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A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4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C4"/>
  </w:style>
  <w:style w:type="paragraph" w:styleId="Footer">
    <w:name w:val="footer"/>
    <w:basedOn w:val="Normal"/>
    <w:link w:val="FooterChar"/>
    <w:uiPriority w:val="99"/>
    <w:unhideWhenUsed/>
    <w:rsid w:val="00B34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C4"/>
  </w:style>
  <w:style w:type="paragraph" w:customStyle="1" w:styleId="Style1">
    <w:name w:val="Style1"/>
    <w:basedOn w:val="Normal"/>
    <w:next w:val="Normal"/>
    <w:qFormat/>
    <w:rsid w:val="002B2134"/>
    <w:pPr>
      <w:numPr>
        <w:ilvl w:val="1"/>
        <w:numId w:val="10"/>
      </w:numPr>
      <w:spacing w:before="120" w:after="240" w:line="240" w:lineRule="auto"/>
      <w:ind w:left="567" w:firstLine="0"/>
      <w:contextualSpacing/>
      <w:jc w:val="center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D51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2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gional_policy/policy/communication/online-generator_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regional_policy/information-sources/logo-download-center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Pavelic</dc:creator>
  <cp:keywords/>
  <dc:description/>
  <cp:lastModifiedBy>Danijela Hrsto</cp:lastModifiedBy>
  <cp:revision>10</cp:revision>
  <dcterms:created xsi:type="dcterms:W3CDTF">2025-10-03T19:37:00Z</dcterms:created>
  <dcterms:modified xsi:type="dcterms:W3CDTF">2025-10-10T09:15:00Z</dcterms:modified>
</cp:coreProperties>
</file>