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C0AE" w14:textId="270F095E" w:rsidR="003710F6" w:rsidRDefault="004E5FC9" w:rsidP="00567866">
      <w:pPr>
        <w:tabs>
          <w:tab w:val="left" w:pos="5674"/>
        </w:tabs>
        <w:jc w:val="center"/>
        <w:rPr>
          <w:rFonts w:cstheme="minorHAnsi"/>
          <w:b/>
          <w:sz w:val="28"/>
        </w:rPr>
      </w:pPr>
      <w:r w:rsidRPr="00567866">
        <w:rPr>
          <w:rFonts w:cstheme="minorHAnsi"/>
          <w:b/>
          <w:sz w:val="28"/>
        </w:rPr>
        <w:t>POTREBNA DOKUMENTACIJA</w:t>
      </w:r>
    </w:p>
    <w:p w14:paraId="06E7319F" w14:textId="77777777" w:rsidR="00E72365" w:rsidRPr="00567866" w:rsidRDefault="00E72365" w:rsidP="00567866">
      <w:pPr>
        <w:tabs>
          <w:tab w:val="left" w:pos="5674"/>
        </w:tabs>
        <w:jc w:val="center"/>
        <w:rPr>
          <w:rFonts w:cstheme="minorHAnsi"/>
          <w:b/>
          <w:sz w:val="28"/>
        </w:rPr>
      </w:pPr>
    </w:p>
    <w:p w14:paraId="7C1AA08C" w14:textId="0484EB66" w:rsidR="00E315D1" w:rsidRPr="00567866" w:rsidRDefault="003710F6" w:rsidP="004E5FC9">
      <w:pPr>
        <w:jc w:val="both"/>
        <w:rPr>
          <w:rFonts w:cstheme="minorHAnsi"/>
        </w:rPr>
      </w:pPr>
      <w:r w:rsidRPr="00567866">
        <w:rPr>
          <w:rFonts w:cstheme="minorHAnsi"/>
        </w:rPr>
        <w:t>Potrebno je dostaviti sl</w:t>
      </w:r>
      <w:r w:rsidR="00567866">
        <w:rPr>
          <w:rFonts w:cstheme="minorHAnsi"/>
        </w:rPr>
        <w:t>i</w:t>
      </w:r>
      <w:r w:rsidRPr="00567866">
        <w:rPr>
          <w:rFonts w:cstheme="minorHAnsi"/>
        </w:rPr>
        <w:t xml:space="preserve">jedeću dokumentaciju: </w:t>
      </w:r>
    </w:p>
    <w:p w14:paraId="45022104" w14:textId="6452BD4E" w:rsidR="003710F6" w:rsidRPr="00567866" w:rsidRDefault="00C81BB6" w:rsidP="004E5FC9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Obrasce </w:t>
      </w:r>
      <w:r w:rsidR="003710F6" w:rsidRPr="00567866">
        <w:rPr>
          <w:rFonts w:cstheme="minorHAnsi"/>
          <w:b/>
        </w:rPr>
        <w:t>potpisan</w:t>
      </w:r>
      <w:r>
        <w:rPr>
          <w:rFonts w:cstheme="minorHAnsi"/>
          <w:b/>
        </w:rPr>
        <w:t>e</w:t>
      </w:r>
      <w:r w:rsidR="003710F6" w:rsidRPr="00567866">
        <w:rPr>
          <w:rFonts w:cstheme="minorHAnsi"/>
          <w:b/>
        </w:rPr>
        <w:t xml:space="preserve"> i ovjeren</w:t>
      </w:r>
      <w:r>
        <w:rPr>
          <w:rFonts w:cstheme="minorHAnsi"/>
          <w:b/>
        </w:rPr>
        <w:t>e</w:t>
      </w:r>
      <w:r w:rsidR="003710F6" w:rsidRPr="00567866">
        <w:rPr>
          <w:rFonts w:cstheme="minorHAnsi"/>
          <w:b/>
        </w:rPr>
        <w:t xml:space="preserve"> od strane podnositelja zahtjeva</w:t>
      </w:r>
      <w:r w:rsidR="00543A72" w:rsidRPr="00567866">
        <w:rPr>
          <w:rFonts w:cstheme="minorHAnsi"/>
          <w:b/>
        </w:rPr>
        <w:t>:</w:t>
      </w:r>
    </w:p>
    <w:p w14:paraId="7DB97D8D" w14:textId="137E4B4F" w:rsidR="003710F6" w:rsidRPr="00567866" w:rsidRDefault="003710F6" w:rsidP="004E5FC9">
      <w:pPr>
        <w:jc w:val="both"/>
        <w:rPr>
          <w:rFonts w:cstheme="minorHAnsi"/>
        </w:rPr>
      </w:pPr>
      <w:r w:rsidRPr="00567866">
        <w:rPr>
          <w:rFonts w:cstheme="minorHAnsi"/>
        </w:rPr>
        <w:t>(obrasci dostupni na službenim internetskim stranicama HAMAG-BICRO-a):</w:t>
      </w:r>
    </w:p>
    <w:p w14:paraId="71F94D7B" w14:textId="77777777" w:rsidR="003710F6" w:rsidRPr="00567866" w:rsidRDefault="003710F6" w:rsidP="004E5FC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67866">
        <w:rPr>
          <w:rFonts w:cstheme="minorHAnsi"/>
        </w:rPr>
        <w:t>Izjavu o korištenim potporama male vrijednosti i državnim potporama</w:t>
      </w:r>
      <w:r w:rsidR="00AC3CC2" w:rsidRPr="00567866">
        <w:rPr>
          <w:rFonts w:cstheme="minorHAnsi"/>
        </w:rPr>
        <w:t>;</w:t>
      </w:r>
    </w:p>
    <w:p w14:paraId="041E58D4" w14:textId="77777777" w:rsidR="003710F6" w:rsidRPr="00567866" w:rsidRDefault="003710F6" w:rsidP="004E5FC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67866">
        <w:rPr>
          <w:rFonts w:cstheme="minorHAnsi"/>
        </w:rPr>
        <w:t>Izjavu radi utvrđivanja statusa subjekta malog gospodarstva (Skupna izjava)</w:t>
      </w:r>
      <w:r w:rsidR="00AC3CC2" w:rsidRPr="00567866">
        <w:rPr>
          <w:rFonts w:cstheme="minorHAnsi"/>
        </w:rPr>
        <w:t>;</w:t>
      </w:r>
    </w:p>
    <w:p w14:paraId="1B427B49" w14:textId="7BE433FE" w:rsidR="003710F6" w:rsidRPr="00567866" w:rsidRDefault="003710F6" w:rsidP="004E5FC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67866">
        <w:rPr>
          <w:rFonts w:cstheme="minorHAnsi"/>
        </w:rPr>
        <w:t>Tablicu kreditne zaduženosti</w:t>
      </w:r>
      <w:r w:rsidR="007343AD">
        <w:rPr>
          <w:rFonts w:cstheme="minorHAnsi"/>
        </w:rPr>
        <w:t xml:space="preserve"> </w:t>
      </w:r>
      <w:r w:rsidR="007343AD" w:rsidRPr="007343AD">
        <w:rPr>
          <w:rFonts w:cstheme="minorHAnsi"/>
        </w:rPr>
        <w:t>na zadnji dan u mjesecu (ne starija od 2 mjeseca</w:t>
      </w:r>
      <w:r w:rsidR="007343AD">
        <w:rPr>
          <w:rFonts w:cstheme="minorHAnsi"/>
        </w:rPr>
        <w:t>)</w:t>
      </w:r>
      <w:r w:rsidR="007343AD" w:rsidRPr="007343AD">
        <w:rPr>
          <w:rFonts w:cstheme="minorHAnsi"/>
        </w:rPr>
        <w:t xml:space="preserve"> prije predaje Zahtjeva za zajam </w:t>
      </w:r>
      <w:r w:rsidR="00012F01" w:rsidRPr="00012F01">
        <w:rPr>
          <w:rFonts w:cstheme="minorHAnsi"/>
        </w:rPr>
        <w:t>u HAMAG-BICRO</w:t>
      </w:r>
      <w:r w:rsidR="00AC3CC2" w:rsidRPr="00567866">
        <w:rPr>
          <w:rFonts w:cstheme="minorHAnsi"/>
        </w:rPr>
        <w:t>;</w:t>
      </w:r>
    </w:p>
    <w:p w14:paraId="3B6B8FBB" w14:textId="77777777" w:rsidR="00D077D7" w:rsidRPr="00D077D7" w:rsidRDefault="00D077D7" w:rsidP="00D077D7">
      <w:pPr>
        <w:pStyle w:val="ListParagraph"/>
        <w:jc w:val="both"/>
        <w:rPr>
          <w:rFonts w:cstheme="minorHAnsi"/>
        </w:rPr>
      </w:pPr>
    </w:p>
    <w:p w14:paraId="608050D2" w14:textId="25761431" w:rsidR="003710F6" w:rsidRPr="00567866" w:rsidRDefault="00C81BB6" w:rsidP="004E5FC9">
      <w:pPr>
        <w:jc w:val="both"/>
        <w:rPr>
          <w:rFonts w:cstheme="minorHAnsi"/>
          <w:b/>
        </w:rPr>
      </w:pPr>
      <w:r>
        <w:rPr>
          <w:rFonts w:cstheme="minorHAnsi"/>
          <w:b/>
        </w:rPr>
        <w:t>Ostala dokumentacija:</w:t>
      </w:r>
    </w:p>
    <w:p w14:paraId="7E7D9178" w14:textId="77777777" w:rsidR="00E72365" w:rsidRDefault="00766D34" w:rsidP="004E5FC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766D34">
        <w:rPr>
          <w:rFonts w:cstheme="minorHAnsi"/>
        </w:rPr>
        <w:t>Poslovni plan propisan od strane HAMAG-BICRO-a (</w:t>
      </w:r>
      <w:r w:rsidR="00421050">
        <w:rPr>
          <w:rFonts w:cstheme="minorHAnsi"/>
        </w:rPr>
        <w:t xml:space="preserve">dostaviti u </w:t>
      </w:r>
      <w:r w:rsidRPr="00766D34">
        <w:rPr>
          <w:rFonts w:cstheme="minorHAnsi"/>
        </w:rPr>
        <w:t>xls format</w:t>
      </w:r>
      <w:r w:rsidR="004C0126">
        <w:rPr>
          <w:rFonts w:cstheme="minorHAnsi"/>
        </w:rPr>
        <w:t>u</w:t>
      </w:r>
      <w:r w:rsidRPr="00766D34">
        <w:rPr>
          <w:rFonts w:cstheme="minorHAnsi"/>
        </w:rPr>
        <w:t>)</w:t>
      </w:r>
      <w:r>
        <w:rPr>
          <w:rFonts w:cstheme="minorHAnsi"/>
        </w:rPr>
        <w:t xml:space="preserve"> </w:t>
      </w:r>
    </w:p>
    <w:p w14:paraId="44645267" w14:textId="0AB673BE" w:rsidR="00766D34" w:rsidRPr="00F630CA" w:rsidRDefault="00E72365" w:rsidP="00E72365">
      <w:pPr>
        <w:pStyle w:val="ListParagraph"/>
        <w:jc w:val="both"/>
        <w:rPr>
          <w:rFonts w:cstheme="minorHAnsi"/>
          <w:i/>
          <w:iCs/>
          <w:sz w:val="20"/>
          <w:szCs w:val="20"/>
        </w:rPr>
      </w:pPr>
      <w:r w:rsidRPr="00F630CA">
        <w:rPr>
          <w:rFonts w:cstheme="minorHAnsi"/>
          <w:i/>
          <w:iCs/>
          <w:sz w:val="20"/>
          <w:szCs w:val="20"/>
        </w:rPr>
        <w:t>*</w:t>
      </w:r>
      <w:r w:rsidR="00766D34" w:rsidRPr="00F630CA">
        <w:rPr>
          <w:rFonts w:cstheme="minorHAnsi"/>
          <w:i/>
          <w:iCs/>
          <w:sz w:val="20"/>
          <w:szCs w:val="20"/>
        </w:rPr>
        <w:t xml:space="preserve"> </w:t>
      </w:r>
      <w:r w:rsidR="00F630CA" w:rsidRPr="00F630CA">
        <w:rPr>
          <w:i/>
          <w:iCs/>
        </w:rPr>
        <w:t xml:space="preserve">obrazac dostupan na </w:t>
      </w:r>
      <w:hyperlink r:id="rId8" w:history="1">
        <w:r w:rsidR="00F630CA" w:rsidRPr="00F630CA">
          <w:rPr>
            <w:rStyle w:val="Hyperlink"/>
            <w:i/>
            <w:iCs/>
          </w:rPr>
          <w:t>službenim stranicama HAMAG-BICRO-a</w:t>
        </w:r>
      </w:hyperlink>
    </w:p>
    <w:p w14:paraId="4122FB42" w14:textId="77777777" w:rsidR="003710F6" w:rsidRPr="00567866" w:rsidRDefault="003710F6" w:rsidP="004E5FC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 xml:space="preserve">Ponude/predračune/troškovnike/ugovore  o  kupoprodaji  i  sl.  sukladno  strukturi ulaganja navedenoj u zahtjevu za zajam i poslovnom planu; </w:t>
      </w:r>
    </w:p>
    <w:p w14:paraId="760DFCB3" w14:textId="77777777" w:rsidR="003710F6" w:rsidRPr="00567866" w:rsidRDefault="003710F6" w:rsidP="004E5FC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 xml:space="preserve">Dokumentaciju  o  legalitetu  građenja (lokacijska  dozvola,  građevinska  dozvola, potvrda  glavnog projekta, rješenje o uvjetima građenja, idejni projekt, glavni projekt,  izvedbeni projekt i sl.); </w:t>
      </w:r>
    </w:p>
    <w:p w14:paraId="11A4442F" w14:textId="77777777" w:rsidR="003710F6" w:rsidRPr="00567866" w:rsidRDefault="003710F6" w:rsidP="004E5FC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>Pisma   namjere,   (pred)ugovore   o   poslovnoj   suradnji,   (pred)ugovore   o   otkupu proizvoda i sl.;</w:t>
      </w:r>
    </w:p>
    <w:p w14:paraId="65D87AF1" w14:textId="77777777" w:rsidR="003710F6" w:rsidRPr="00567866" w:rsidRDefault="003710F6" w:rsidP="004E5FC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 xml:space="preserve">Životopis osoba u vlasničkoj i upravljačkoj strukturi prijavitelja; </w:t>
      </w:r>
    </w:p>
    <w:p w14:paraId="3CF14E69" w14:textId="77777777" w:rsidR="00AC3CC2" w:rsidRPr="00567866" w:rsidRDefault="003710F6" w:rsidP="00AC3CC2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>Preslike osobnih iskaznica osoba u vl</w:t>
      </w:r>
      <w:r w:rsidR="00AC3CC2" w:rsidRPr="00567866">
        <w:rPr>
          <w:rFonts w:cstheme="minorHAnsi"/>
        </w:rPr>
        <w:t>asničkoj strukturi prijavitelja;</w:t>
      </w:r>
    </w:p>
    <w:p w14:paraId="1059EA57" w14:textId="1EA4BDA8" w:rsidR="004E5FC9" w:rsidRPr="00567866" w:rsidRDefault="004E5FC9" w:rsidP="004E5FC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>Financijsk</w:t>
      </w:r>
      <w:r w:rsidR="00A35DE5">
        <w:rPr>
          <w:rFonts w:cstheme="minorHAnsi"/>
        </w:rPr>
        <w:t>u</w:t>
      </w:r>
      <w:r w:rsidRPr="00567866">
        <w:rPr>
          <w:rFonts w:cstheme="minorHAnsi"/>
        </w:rPr>
        <w:t xml:space="preserve"> dokumentacij</w:t>
      </w:r>
      <w:r w:rsidR="00A35DE5">
        <w:rPr>
          <w:rFonts w:cstheme="minorHAnsi"/>
        </w:rPr>
        <w:t>u</w:t>
      </w:r>
      <w:r w:rsidR="00AC3CC2" w:rsidRPr="00567866">
        <w:rPr>
          <w:rFonts w:cstheme="minorHAnsi"/>
        </w:rPr>
        <w:t xml:space="preserve"> (ovisno o pravnom obliku prijavitelja)</w:t>
      </w:r>
      <w:r w:rsidRPr="00567866">
        <w:rPr>
          <w:rFonts w:cstheme="minorHAnsi"/>
        </w:rPr>
        <w:t>:</w:t>
      </w:r>
    </w:p>
    <w:p w14:paraId="2B798425" w14:textId="5F1263A9" w:rsidR="00567866" w:rsidRPr="00567866" w:rsidRDefault="00012F01" w:rsidP="004E5FC9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>
        <w:t>O</w:t>
      </w:r>
      <w:r w:rsidR="00567866">
        <w:t>čitovanje vjerovnika o urednosti otplate po svim postojećim zaduženjima;</w:t>
      </w:r>
    </w:p>
    <w:p w14:paraId="129EC824" w14:textId="77777777" w:rsidR="004E5FC9" w:rsidRPr="00567866" w:rsidRDefault="004E5FC9" w:rsidP="003A6CAD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>BON 2/ SOL 2 obrazac ne stariji od 30 dana na dan podnošenja zahtjeva za zajam</w:t>
      </w:r>
      <w:r w:rsidR="003A6CAD" w:rsidRPr="00567866">
        <w:rPr>
          <w:rFonts w:cstheme="minorHAnsi"/>
        </w:rPr>
        <w:t>; u slučaju ako je korisnik fizička osoba koja nema otvoren poslovni račun već žiro račun fizičke osobe te sukladno tome od strane banke nije u mogućnosti ishoditi obrazac BON-2/SOL-2, prihvatljiv je dokument izdan od banke koji sadrži sve navedene podatke za provjeru predmetnog uvjeta</w:t>
      </w:r>
      <w:r w:rsidRPr="00567866">
        <w:rPr>
          <w:rFonts w:cstheme="minorHAnsi"/>
        </w:rPr>
        <w:t>;</w:t>
      </w:r>
    </w:p>
    <w:p w14:paraId="7070D30F" w14:textId="4FD18136" w:rsidR="004E5FC9" w:rsidRDefault="004E5FC9" w:rsidP="004E5FC9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>Potvrd</w:t>
      </w:r>
      <w:r w:rsidR="00A35DE5">
        <w:rPr>
          <w:rFonts w:cstheme="minorHAnsi"/>
        </w:rPr>
        <w:t>u</w:t>
      </w:r>
      <w:r w:rsidRPr="00567866">
        <w:rPr>
          <w:rFonts w:cstheme="minorHAnsi"/>
        </w:rPr>
        <w:t xml:space="preserve"> Porezne uprave iz koje je razvidno da korisnik ima podmirene odnosno uređene financijske obveze prema državnom proračunu Republike Hrvatske, ne starija od 30 dana na dan podnošenja zahtjeva za Zajam;</w:t>
      </w:r>
    </w:p>
    <w:p w14:paraId="5AD38141" w14:textId="77777777" w:rsidR="00D66A97" w:rsidRDefault="00D66A97" w:rsidP="00D66A97">
      <w:pPr>
        <w:pStyle w:val="ListParagraph"/>
        <w:ind w:left="1440"/>
        <w:jc w:val="both"/>
        <w:rPr>
          <w:rFonts w:cstheme="minorHAnsi"/>
        </w:rPr>
      </w:pPr>
    </w:p>
    <w:p w14:paraId="3356D3A1" w14:textId="626D0C54" w:rsidR="00120A36" w:rsidRDefault="00120A36" w:rsidP="00120A36">
      <w:pPr>
        <w:jc w:val="both"/>
        <w:rPr>
          <w:rFonts w:cstheme="minorHAnsi"/>
        </w:rPr>
      </w:pPr>
    </w:p>
    <w:p w14:paraId="0C7ED3B3" w14:textId="77777777" w:rsidR="00120A36" w:rsidRDefault="00120A36" w:rsidP="00120A36">
      <w:pPr>
        <w:jc w:val="both"/>
        <w:rPr>
          <w:rFonts w:cstheme="minorHAnsi"/>
        </w:rPr>
      </w:pPr>
    </w:p>
    <w:p w14:paraId="381BB89C" w14:textId="77777777" w:rsidR="00120A36" w:rsidRPr="00120A36" w:rsidRDefault="00120A36" w:rsidP="00120A36">
      <w:pPr>
        <w:jc w:val="both"/>
        <w:rPr>
          <w:rFonts w:cstheme="minorHAnsi"/>
        </w:rPr>
      </w:pPr>
    </w:p>
    <w:p w14:paraId="335DD951" w14:textId="77777777" w:rsidR="004E5FC9" w:rsidRDefault="004E5FC9" w:rsidP="004E5FC9">
      <w:pPr>
        <w:pStyle w:val="ListParagraph"/>
        <w:numPr>
          <w:ilvl w:val="1"/>
          <w:numId w:val="3"/>
        </w:numPr>
        <w:jc w:val="both"/>
        <w:rPr>
          <w:rFonts w:cstheme="minorHAnsi"/>
          <w:b/>
        </w:rPr>
      </w:pPr>
      <w:r w:rsidRPr="00567866">
        <w:rPr>
          <w:rFonts w:cstheme="minorHAnsi"/>
          <w:b/>
        </w:rPr>
        <w:lastRenderedPageBreak/>
        <w:t>Obveznici poreza na dohodak koji porez plaćaju temeljem podataka iz poslovnih knjiga:</w:t>
      </w:r>
    </w:p>
    <w:p w14:paraId="3266BD70" w14:textId="6D4DC6EC" w:rsidR="004E5FC9" w:rsidRPr="00555F9D" w:rsidRDefault="00555F9D" w:rsidP="009C792D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 w:rsidRPr="00555F9D">
        <w:rPr>
          <w:rFonts w:cstheme="minorHAnsi"/>
        </w:rPr>
        <w:t>Godišnja prijava poreza na dohodak za prethodne dvije godine poslovanja s prilozima (Obrazac DOH):</w:t>
      </w:r>
      <w:r>
        <w:rPr>
          <w:rFonts w:cstheme="minorHAnsi"/>
        </w:rPr>
        <w:t xml:space="preserve"> Knjiga primitaka i izdataka – obrazac KPI, </w:t>
      </w:r>
      <w:r w:rsidR="004E5FC9" w:rsidRPr="00555F9D">
        <w:rPr>
          <w:rFonts w:cstheme="minorHAnsi"/>
        </w:rPr>
        <w:t xml:space="preserve">Pregled poslovnih primitaka i izdataka za prethodne dvije godine poslovanja </w:t>
      </w:r>
      <w:r>
        <w:rPr>
          <w:rFonts w:cstheme="minorHAnsi"/>
        </w:rPr>
        <w:t xml:space="preserve">- </w:t>
      </w:r>
      <w:r w:rsidR="004E5FC9" w:rsidRPr="00555F9D">
        <w:rPr>
          <w:rFonts w:cstheme="minorHAnsi"/>
        </w:rPr>
        <w:t>Obrazac P-PPI);</w:t>
      </w:r>
    </w:p>
    <w:p w14:paraId="2A7E3054" w14:textId="7A4766EB" w:rsidR="004E5FC9" w:rsidRPr="00567866" w:rsidRDefault="004E5FC9" w:rsidP="004E5FC9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>Popis dugotrajne imovine za prethodne dvije godine poslovanja (Obrazac DI);</w:t>
      </w:r>
    </w:p>
    <w:p w14:paraId="0FA15E90" w14:textId="77777777" w:rsidR="00AC3CC2" w:rsidRPr="00567866" w:rsidRDefault="00AC3CC2" w:rsidP="00AC3CC2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>Evidencija   o tražbinama  i  obvezama –obrazac  TO  ne  stariji od 30  dana  od  dana zaprimanja zahtjeva u HAMAG BICRO;</w:t>
      </w:r>
    </w:p>
    <w:p w14:paraId="3CB573A2" w14:textId="77777777" w:rsidR="004E5FC9" w:rsidRPr="00567866" w:rsidRDefault="004E5FC9" w:rsidP="004E5FC9">
      <w:pPr>
        <w:pStyle w:val="ListParagraph"/>
        <w:numPr>
          <w:ilvl w:val="1"/>
          <w:numId w:val="3"/>
        </w:numPr>
        <w:jc w:val="both"/>
        <w:rPr>
          <w:rFonts w:cstheme="minorHAnsi"/>
          <w:b/>
        </w:rPr>
      </w:pPr>
      <w:r w:rsidRPr="00567866">
        <w:rPr>
          <w:rFonts w:cstheme="minorHAnsi"/>
          <w:b/>
        </w:rPr>
        <w:t xml:space="preserve">Obveznici poreza na dohodak koji porez plaćaju paušalno:  </w:t>
      </w:r>
    </w:p>
    <w:p w14:paraId="1821E5F8" w14:textId="77777777" w:rsidR="004E5FC9" w:rsidRPr="00567866" w:rsidRDefault="004E5FC9" w:rsidP="004E5FC9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>Knjiga prometa za prethodne dvije godine poslovanja (Obrazac KPR);</w:t>
      </w:r>
    </w:p>
    <w:p w14:paraId="678025F2" w14:textId="77777777" w:rsidR="004E5FC9" w:rsidRPr="00567866" w:rsidRDefault="004E5FC9" w:rsidP="004E5FC9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>Izvješće o paušalnom dohotku od samostalnih djelatnosti i uplaćenom paušalnom porezu na dohodak i prirezu poreza na dohodak za prethodne dvije godine poslovanja (Obrazac PO-SD);</w:t>
      </w:r>
    </w:p>
    <w:p w14:paraId="3A3CA05D" w14:textId="77777777" w:rsidR="004E5FC9" w:rsidRPr="00567866" w:rsidRDefault="004E5FC9" w:rsidP="004E5FC9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>Evidencija o prodaji vlastitih poljoprivrednih proizvoda za prethodne dvije godine – ako su prodavali vlastite poljoprivredne proizvode;</w:t>
      </w:r>
    </w:p>
    <w:p w14:paraId="42E0D565" w14:textId="77777777" w:rsidR="004E5FC9" w:rsidRPr="00567866" w:rsidRDefault="004E5FC9" w:rsidP="004E5FC9">
      <w:pPr>
        <w:pStyle w:val="ListParagraph"/>
        <w:numPr>
          <w:ilvl w:val="1"/>
          <w:numId w:val="3"/>
        </w:numPr>
        <w:jc w:val="both"/>
        <w:rPr>
          <w:rFonts w:cstheme="minorHAnsi"/>
          <w:b/>
        </w:rPr>
      </w:pPr>
      <w:r w:rsidRPr="00567866">
        <w:rPr>
          <w:rFonts w:cstheme="minorHAnsi"/>
          <w:b/>
        </w:rPr>
        <w:t>Obveznici poreza na dobit:</w:t>
      </w:r>
    </w:p>
    <w:p w14:paraId="05036D06" w14:textId="50665718" w:rsidR="00AC3CC2" w:rsidRPr="00AD21FC" w:rsidRDefault="00AC3CC2" w:rsidP="00132A36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 w:rsidRPr="00AD21FC">
        <w:rPr>
          <w:rFonts w:cstheme="minorHAnsi"/>
        </w:rPr>
        <w:t xml:space="preserve">Godišnji  financijski  izvještaji  </w:t>
      </w:r>
      <w:r w:rsidR="00012F01" w:rsidRPr="00AD21FC">
        <w:rPr>
          <w:rFonts w:cstheme="minorHAnsi"/>
        </w:rPr>
        <w:t xml:space="preserve">za proteklu poslovnu godinu </w:t>
      </w:r>
      <w:r w:rsidRPr="00AD21FC">
        <w:rPr>
          <w:rFonts w:cstheme="minorHAnsi"/>
        </w:rPr>
        <w:t xml:space="preserve">sastavljeni sukladno Zakonu o računovodstvu (u elektroničkom obliku u standardiziranom FINA formatu); </w:t>
      </w:r>
    </w:p>
    <w:p w14:paraId="6F7A34FA" w14:textId="6E9A5D9D" w:rsidR="00AC3CC2" w:rsidRDefault="00AC3CC2" w:rsidP="00AC3CC2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 xml:space="preserve">Prijava poreza na dobit s potvrdom zaprimanja od strane Porezne uprave </w:t>
      </w:r>
      <w:r w:rsidR="00012F01" w:rsidRPr="00012F01">
        <w:rPr>
          <w:rFonts w:cstheme="minorHAnsi"/>
        </w:rPr>
        <w:t>za proteklu poslovnu godinu</w:t>
      </w:r>
      <w:r w:rsidRPr="00567866">
        <w:rPr>
          <w:rFonts w:cstheme="minorHAnsi"/>
        </w:rPr>
        <w:t xml:space="preserve"> poslovanja;</w:t>
      </w:r>
    </w:p>
    <w:p w14:paraId="33064646" w14:textId="43E4E5C5" w:rsidR="00BD1B4A" w:rsidRPr="00567866" w:rsidRDefault="00BD1B4A" w:rsidP="00AC3CC2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 w:rsidRPr="00BD1B4A">
        <w:rPr>
          <w:rFonts w:cstheme="minorHAnsi"/>
        </w:rPr>
        <w:t>Bruto bilanca za razdoblje tekuće godine na zadnji dan u mjesecu (ne starija od 2 mjeseca prije predaje Zahtjeva za zajam)</w:t>
      </w:r>
    </w:p>
    <w:p w14:paraId="020B2D78" w14:textId="77777777" w:rsidR="004E5FC9" w:rsidRPr="00567866" w:rsidRDefault="004E5FC9" w:rsidP="004E5FC9">
      <w:pPr>
        <w:pStyle w:val="ListParagraph"/>
        <w:numPr>
          <w:ilvl w:val="1"/>
          <w:numId w:val="3"/>
        </w:numPr>
        <w:jc w:val="both"/>
        <w:rPr>
          <w:rFonts w:cstheme="minorHAnsi"/>
          <w:b/>
        </w:rPr>
      </w:pPr>
      <w:r w:rsidRPr="00567866">
        <w:rPr>
          <w:rFonts w:cstheme="minorHAnsi"/>
          <w:b/>
        </w:rPr>
        <w:t xml:space="preserve">Korisnici koji nisu bili u sustavu poreza na dobit ili dohodak:  </w:t>
      </w:r>
    </w:p>
    <w:p w14:paraId="01DC0F0B" w14:textId="77777777" w:rsidR="004E5FC9" w:rsidRPr="00567866" w:rsidRDefault="004E5FC9" w:rsidP="004E5FC9">
      <w:pPr>
        <w:pStyle w:val="ListParagraph"/>
        <w:numPr>
          <w:ilvl w:val="2"/>
          <w:numId w:val="3"/>
        </w:numPr>
        <w:jc w:val="both"/>
        <w:rPr>
          <w:rFonts w:cstheme="minorHAnsi"/>
        </w:rPr>
      </w:pPr>
      <w:r w:rsidRPr="00567866">
        <w:rPr>
          <w:rFonts w:cstheme="minorHAnsi"/>
        </w:rPr>
        <w:t>Evidencija o prodaji vlastitih poljoprivrednih proizvoda za prethodne dvije godine poslovanja;</w:t>
      </w:r>
    </w:p>
    <w:p w14:paraId="7239C02F" w14:textId="282A18A5" w:rsidR="004E5FC9" w:rsidRPr="00567866" w:rsidRDefault="004E5FC9" w:rsidP="004E5FC9">
      <w:pPr>
        <w:pStyle w:val="ListParagraph"/>
        <w:numPr>
          <w:ilvl w:val="1"/>
          <w:numId w:val="3"/>
        </w:numPr>
        <w:jc w:val="both"/>
        <w:rPr>
          <w:rFonts w:cstheme="minorHAnsi"/>
          <w:b/>
        </w:rPr>
      </w:pPr>
      <w:r w:rsidRPr="00567866">
        <w:rPr>
          <w:rFonts w:cstheme="minorHAnsi"/>
          <w:b/>
        </w:rPr>
        <w:t>Proizvođačke organizacije</w:t>
      </w:r>
      <w:r w:rsidR="004D4199" w:rsidRPr="00567866">
        <w:rPr>
          <w:rFonts w:cstheme="minorHAnsi"/>
          <w:b/>
        </w:rPr>
        <w:t xml:space="preserve"> </w:t>
      </w:r>
      <w:r w:rsidRPr="00567866">
        <w:rPr>
          <w:rFonts w:cstheme="minorHAnsi"/>
          <w:b/>
        </w:rPr>
        <w:t xml:space="preserve"> koje su osnovane kao udruge</w:t>
      </w:r>
      <w:r w:rsidR="004D4199" w:rsidRPr="00567866">
        <w:rPr>
          <w:rFonts w:cstheme="minorHAnsi"/>
          <w:b/>
        </w:rPr>
        <w:t xml:space="preserve"> i udruge šumoposjednika</w:t>
      </w:r>
      <w:r w:rsidRPr="00567866">
        <w:rPr>
          <w:rFonts w:cstheme="minorHAnsi"/>
          <w:b/>
        </w:rPr>
        <w:t xml:space="preserve">: </w:t>
      </w:r>
    </w:p>
    <w:p w14:paraId="2C8EBBD7" w14:textId="7323E748" w:rsidR="00FC2081" w:rsidRPr="00567866" w:rsidRDefault="004E5FC9" w:rsidP="004E5FC9">
      <w:pPr>
        <w:pStyle w:val="ListParagraph"/>
        <w:numPr>
          <w:ilvl w:val="2"/>
          <w:numId w:val="3"/>
        </w:numPr>
        <w:jc w:val="both"/>
        <w:rPr>
          <w:rFonts w:cstheme="minorHAnsi"/>
          <w:b/>
        </w:rPr>
      </w:pPr>
      <w:r w:rsidRPr="00567866">
        <w:rPr>
          <w:rFonts w:cstheme="minorHAnsi"/>
        </w:rPr>
        <w:t>Financijski izvještaj  za prethode dvije godine poslovanja</w:t>
      </w:r>
    </w:p>
    <w:p w14:paraId="4B33D8FD" w14:textId="77777777" w:rsidR="00A13E95" w:rsidRPr="00567866" w:rsidRDefault="00A13E95" w:rsidP="00072F40">
      <w:pPr>
        <w:pStyle w:val="ListParagraph"/>
        <w:ind w:left="2160"/>
        <w:jc w:val="both"/>
        <w:rPr>
          <w:rFonts w:cstheme="minorHAnsi"/>
          <w:b/>
        </w:rPr>
      </w:pPr>
    </w:p>
    <w:p w14:paraId="7AC8E12C" w14:textId="77777777" w:rsidR="00AC3CC2" w:rsidRPr="00567866" w:rsidRDefault="00AC3CC2" w:rsidP="00AC3CC2">
      <w:pPr>
        <w:pStyle w:val="ListParagraph"/>
        <w:numPr>
          <w:ilvl w:val="0"/>
          <w:numId w:val="3"/>
        </w:numPr>
        <w:jc w:val="both"/>
        <w:rPr>
          <w:rFonts w:cstheme="minorHAnsi"/>
          <w:b/>
        </w:rPr>
      </w:pPr>
      <w:r w:rsidRPr="00567866">
        <w:rPr>
          <w:rFonts w:cstheme="minorHAnsi"/>
        </w:rPr>
        <w:t>Dodatna dokumentacija (ovisno o tipu operacije):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4E5FC9" w:rsidRPr="00567866" w14:paraId="663B884B" w14:textId="77777777" w:rsidTr="00E72365">
        <w:tc>
          <w:tcPr>
            <w:tcW w:w="2263" w:type="dxa"/>
          </w:tcPr>
          <w:p w14:paraId="6D479363" w14:textId="77777777" w:rsidR="004E5FC9" w:rsidRPr="00567866" w:rsidRDefault="004E5FC9" w:rsidP="00CD652A">
            <w:pPr>
              <w:rPr>
                <w:rFonts w:cstheme="minorHAnsi"/>
                <w:b/>
              </w:rPr>
            </w:pPr>
            <w:r w:rsidRPr="00567866">
              <w:rPr>
                <w:rFonts w:cstheme="minorHAnsi"/>
                <w:b/>
                <w:bCs/>
                <w:lang w:eastAsia="hr-HR"/>
              </w:rPr>
              <w:t xml:space="preserve">4.1.1. </w:t>
            </w:r>
            <w:r w:rsidRPr="00567866">
              <w:rPr>
                <w:rFonts w:cstheme="minorHAnsi"/>
                <w:b/>
              </w:rPr>
              <w:t>RESTRUKTURIRANJE, MODERNIZACIJA I POVEĆANJE KONKURENTNOSTI POLJOPRIVREDNIH GOSPODARSTAVA</w:t>
            </w:r>
          </w:p>
        </w:tc>
        <w:tc>
          <w:tcPr>
            <w:tcW w:w="7230" w:type="dxa"/>
          </w:tcPr>
          <w:p w14:paraId="6DEE3A18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Statusna dokumentacija:</w:t>
            </w:r>
          </w:p>
          <w:p w14:paraId="2406773C" w14:textId="77777777" w:rsidR="00456795" w:rsidRDefault="004E5FC9" w:rsidP="00456795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Izvadak iz Upisnika Poljoprivrednika (APPRRR) i/ili</w:t>
            </w:r>
          </w:p>
          <w:p w14:paraId="59DF1CEF" w14:textId="3B962642" w:rsidR="004E5FC9" w:rsidRPr="00456795" w:rsidRDefault="00442370" w:rsidP="00456795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Posjednički list iz HPA</w:t>
            </w:r>
            <w:r w:rsidR="0079288A" w:rsidRPr="00456795">
              <w:rPr>
                <w:rFonts w:eastAsia="Times New Roman" w:cstheme="minorHAnsi"/>
                <w:color w:val="000000"/>
                <w:lang w:eastAsia="hr-HR"/>
              </w:rPr>
              <w:t xml:space="preserve"> (Hrvatska poljoprivredna agencija)</w:t>
            </w:r>
            <w:r w:rsidR="004E5FC9" w:rsidRPr="00456795">
              <w:rPr>
                <w:rFonts w:eastAsia="Times New Roman" w:cstheme="minorHAnsi"/>
                <w:color w:val="000000"/>
                <w:lang w:eastAsia="hr-HR"/>
              </w:rPr>
              <w:t xml:space="preserve"> ili</w:t>
            </w:r>
          </w:p>
          <w:p w14:paraId="5F65E0C7" w14:textId="77777777" w:rsidR="004E5FC9" w:rsidRPr="00567866" w:rsidRDefault="004E5FC9" w:rsidP="00AC3CC2">
            <w:pPr>
              <w:pStyle w:val="ListParagraph"/>
              <w:numPr>
                <w:ilvl w:val="0"/>
                <w:numId w:val="13"/>
              </w:numPr>
              <w:ind w:left="601" w:hanging="425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Rješenje o potvrđivanju Proizvođačke organizacije (Ministarstvo poljoprivrede);</w:t>
            </w:r>
          </w:p>
          <w:p w14:paraId="626D17F8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Potvrda o Ekonomskoj veličini poljoprivrednog gospodarstva (Hrvatska poljoprivredno-šumarska savjetodavna služba);</w:t>
            </w:r>
          </w:p>
          <w:p w14:paraId="51E70507" w14:textId="77777777" w:rsidR="004E5FC9" w:rsidRPr="006B6B9E" w:rsidRDefault="004E5FC9" w:rsidP="00AD21FC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cstheme="minorHAnsi"/>
              </w:rPr>
            </w:pPr>
            <w:r w:rsidRPr="00567866">
              <w:rPr>
                <w:rFonts w:eastAsia="Times New Roman" w:cstheme="minorHAnsi"/>
                <w:bCs/>
                <w:iCs/>
                <w:color w:val="000000"/>
                <w:lang w:eastAsia="hr-HR"/>
              </w:rPr>
              <w:t xml:space="preserve">Kod ulaganja u navodnjavanje </w:t>
            </w:r>
            <w:r w:rsidRPr="00567866">
              <w:rPr>
                <w:rFonts w:eastAsia="Times New Roman" w:cstheme="minorHAnsi"/>
                <w:color w:val="000000"/>
                <w:lang w:eastAsia="hr-HR"/>
              </w:rPr>
              <w:t>ishođena Potvrda o prethodnom odobrenju projekta ishođenu od strane Uprave nadležne za vodno gospodarstvo Ministarstva zaštite okoliša i energetike (Potvrdu o prethodnom odobrenju projekta)</w:t>
            </w:r>
          </w:p>
          <w:p w14:paraId="0E3D7198" w14:textId="4FB0EFA9" w:rsidR="006B6B9E" w:rsidRPr="00567866" w:rsidRDefault="006B6B9E" w:rsidP="006B6B9E">
            <w:pPr>
              <w:pStyle w:val="ListParagraph"/>
              <w:ind w:left="601"/>
              <w:rPr>
                <w:rFonts w:cstheme="minorHAnsi"/>
              </w:rPr>
            </w:pPr>
          </w:p>
        </w:tc>
      </w:tr>
      <w:tr w:rsidR="004E5FC9" w:rsidRPr="00567866" w14:paraId="4F2FA464" w14:textId="77777777" w:rsidTr="00E72365">
        <w:tc>
          <w:tcPr>
            <w:tcW w:w="2263" w:type="dxa"/>
          </w:tcPr>
          <w:p w14:paraId="14E8884E" w14:textId="64142D9F" w:rsidR="006B6B9E" w:rsidRPr="00567866" w:rsidRDefault="004E5FC9" w:rsidP="00CD652A">
            <w:pPr>
              <w:rPr>
                <w:rFonts w:cstheme="minorHAnsi"/>
                <w:b/>
              </w:rPr>
            </w:pPr>
            <w:r w:rsidRPr="00567866">
              <w:rPr>
                <w:rFonts w:cstheme="minorHAnsi"/>
                <w:b/>
              </w:rPr>
              <w:lastRenderedPageBreak/>
              <w:t>4.1.2. ZBRINJAVANJE, RUKOVANJE I KORIŠTENJE STAJSKOG GNOJIVA U CILJU SMANJENJA ŠTETNOG UTJECAJA NA OKOLIŠ</w:t>
            </w:r>
          </w:p>
        </w:tc>
        <w:tc>
          <w:tcPr>
            <w:tcW w:w="7230" w:type="dxa"/>
          </w:tcPr>
          <w:p w14:paraId="37C1D0C2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Statusna dokumentacija:</w:t>
            </w:r>
          </w:p>
          <w:p w14:paraId="217273B3" w14:textId="77777777" w:rsidR="004E5FC9" w:rsidRPr="00567866" w:rsidRDefault="004E5FC9" w:rsidP="00AC3CC2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Izvadak iz Upisnika Poljoprivrednika (APPRRR) i/ili</w:t>
            </w:r>
          </w:p>
          <w:p w14:paraId="79713D47" w14:textId="4CD6A079" w:rsidR="0079288A" w:rsidRPr="0079288A" w:rsidRDefault="00E94452" w:rsidP="0079288A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Posjednički list</w:t>
            </w:r>
            <w:r w:rsidR="00456795" w:rsidRPr="00456795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79288A">
              <w:rPr>
                <w:rFonts w:eastAsia="Times New Roman" w:cstheme="minorHAnsi"/>
                <w:color w:val="000000"/>
                <w:lang w:eastAsia="hr-HR"/>
              </w:rPr>
              <w:t>(</w:t>
            </w:r>
            <w:r w:rsidR="0079288A" w:rsidRPr="0079288A">
              <w:rPr>
                <w:rFonts w:eastAsia="Times New Roman" w:cstheme="minorHAnsi"/>
                <w:color w:val="000000"/>
                <w:lang w:eastAsia="hr-HR"/>
              </w:rPr>
              <w:t>Hrvatska poljoprivredna agencija</w:t>
            </w:r>
            <w:r w:rsidR="0079288A">
              <w:rPr>
                <w:rFonts w:eastAsia="Times New Roman" w:cstheme="minorHAnsi"/>
                <w:color w:val="000000"/>
                <w:lang w:eastAsia="hr-HR"/>
              </w:rPr>
              <w:t>)</w:t>
            </w:r>
            <w:r w:rsidR="0079288A" w:rsidRPr="0079288A">
              <w:rPr>
                <w:rFonts w:eastAsia="Times New Roman" w:cstheme="minorHAnsi"/>
                <w:color w:val="000000"/>
                <w:lang w:eastAsia="hr-HR"/>
              </w:rPr>
              <w:t xml:space="preserve"> ili</w:t>
            </w:r>
          </w:p>
          <w:p w14:paraId="6A4D640B" w14:textId="77777777" w:rsidR="004E5FC9" w:rsidRPr="00567866" w:rsidRDefault="004E5FC9" w:rsidP="00AC3CC2">
            <w:pPr>
              <w:pStyle w:val="ListParagraph"/>
              <w:numPr>
                <w:ilvl w:val="0"/>
                <w:numId w:val="13"/>
              </w:numPr>
              <w:ind w:left="601" w:hanging="425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Rješenje o potvrđivanju Proizvođačke organizacije (Ministarstvo poljoprivrede);</w:t>
            </w:r>
          </w:p>
          <w:p w14:paraId="3603E9DD" w14:textId="77777777" w:rsidR="004E5FC9" w:rsidRPr="00567866" w:rsidRDefault="004E5FC9" w:rsidP="00AC3CC2">
            <w:pPr>
              <w:pStyle w:val="ListParagraph"/>
              <w:ind w:left="601" w:hanging="425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E5FC9" w:rsidRPr="00567866" w14:paraId="24E43068" w14:textId="77777777" w:rsidTr="00E72365">
        <w:tc>
          <w:tcPr>
            <w:tcW w:w="2263" w:type="dxa"/>
          </w:tcPr>
          <w:p w14:paraId="5626B10B" w14:textId="77777777" w:rsidR="004E5FC9" w:rsidRPr="00567866" w:rsidRDefault="004E5FC9" w:rsidP="00CD652A">
            <w:pPr>
              <w:rPr>
                <w:rFonts w:cstheme="minorHAnsi"/>
                <w:b/>
              </w:rPr>
            </w:pPr>
            <w:r w:rsidRPr="00567866">
              <w:rPr>
                <w:rFonts w:cstheme="minorHAnsi"/>
                <w:b/>
              </w:rPr>
              <w:t>4.1.3 KORIŠTENJE OBNOVLJIVIH IZVORA ENERGIJE</w:t>
            </w:r>
          </w:p>
        </w:tc>
        <w:tc>
          <w:tcPr>
            <w:tcW w:w="7230" w:type="dxa"/>
          </w:tcPr>
          <w:p w14:paraId="2562D05C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Statusna dokumentacija:</w:t>
            </w:r>
          </w:p>
          <w:p w14:paraId="5AE01956" w14:textId="77777777" w:rsidR="004E5FC9" w:rsidRPr="00567866" w:rsidRDefault="004E5FC9" w:rsidP="00AC3CC2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Izvadak iz Upisnika Poljoprivrednika (APPRRR) i/ili</w:t>
            </w:r>
          </w:p>
          <w:p w14:paraId="6238CFC2" w14:textId="65AB3516" w:rsidR="004E5FC9" w:rsidRPr="0079288A" w:rsidRDefault="00E94452" w:rsidP="0079288A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Posjednički list</w:t>
            </w:r>
            <w:r w:rsidR="00456795" w:rsidRPr="00456795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79288A">
              <w:rPr>
                <w:rFonts w:eastAsia="Times New Roman" w:cstheme="minorHAnsi"/>
                <w:color w:val="000000"/>
                <w:lang w:eastAsia="hr-HR"/>
              </w:rPr>
              <w:t>(</w:t>
            </w:r>
            <w:r w:rsidR="0079288A" w:rsidRPr="0079288A">
              <w:rPr>
                <w:rFonts w:eastAsia="Times New Roman" w:cstheme="minorHAnsi"/>
                <w:color w:val="000000"/>
                <w:lang w:eastAsia="hr-HR"/>
              </w:rPr>
              <w:t>Hrvatska poljoprivredna agencija</w:t>
            </w:r>
            <w:r w:rsidR="0079288A">
              <w:rPr>
                <w:rFonts w:eastAsia="Times New Roman" w:cstheme="minorHAnsi"/>
                <w:color w:val="000000"/>
                <w:lang w:eastAsia="hr-HR"/>
              </w:rPr>
              <w:t>);</w:t>
            </w:r>
          </w:p>
          <w:p w14:paraId="38872550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lang w:eastAsia="hr-HR"/>
              </w:rPr>
              <w:t>„Godišnji plan proizvodnje“, potpisan i ovjeren od strane odgovorne osobe;</w:t>
            </w:r>
          </w:p>
          <w:p w14:paraId="33AF2DC1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Style w:val="bold-2"/>
                <w:rFonts w:eastAsia="Times New Roman" w:cstheme="minorHAnsi"/>
                <w:lang w:eastAsia="hr-HR"/>
              </w:rPr>
            </w:pPr>
            <w:r w:rsidRPr="00567866">
              <w:rPr>
                <w:rStyle w:val="bold-2"/>
                <w:rFonts w:cstheme="minorHAnsi"/>
                <w:color w:val="333333"/>
              </w:rPr>
              <w:t>Tehnički opis proizvodnog postrojenja, potpisan i ovjeren od strane odgovorne osobe;</w:t>
            </w:r>
          </w:p>
          <w:p w14:paraId="627B07B9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lang w:eastAsia="hr-HR"/>
              </w:rPr>
            </w:pPr>
            <w:r w:rsidRPr="00567866">
              <w:rPr>
                <w:rStyle w:val="bold-2"/>
                <w:rFonts w:cstheme="minorHAnsi"/>
                <w:color w:val="333333"/>
              </w:rPr>
              <w:t>Potvrda izdana, potpisana i ovjerena od strane HEP Operator distribucijskog sustava d.o.o. da postrojenje za proizvodnju toplinske i/ili električne energije koje koristi obnovljive izvore energije nema mogućnost pristupa električnoj mreži.</w:t>
            </w:r>
          </w:p>
        </w:tc>
      </w:tr>
      <w:tr w:rsidR="004E5FC9" w:rsidRPr="00567866" w14:paraId="0DECD68E" w14:textId="77777777" w:rsidTr="00E72365">
        <w:tc>
          <w:tcPr>
            <w:tcW w:w="2263" w:type="dxa"/>
          </w:tcPr>
          <w:p w14:paraId="6121C458" w14:textId="77777777" w:rsidR="004E5FC9" w:rsidRPr="00567866" w:rsidRDefault="004E5FC9" w:rsidP="00CD652A">
            <w:pPr>
              <w:rPr>
                <w:rFonts w:cstheme="minorHAnsi"/>
                <w:b/>
              </w:rPr>
            </w:pPr>
            <w:r w:rsidRPr="00567866">
              <w:rPr>
                <w:rFonts w:cstheme="minorHAnsi"/>
                <w:b/>
              </w:rPr>
              <w:t>4.2.1 POVEĆANJE DODANE VRIJEDNOSTI POLJOPRIVREDNIM PROIZVODIMA</w:t>
            </w:r>
          </w:p>
        </w:tc>
        <w:tc>
          <w:tcPr>
            <w:tcW w:w="7230" w:type="dxa"/>
          </w:tcPr>
          <w:p w14:paraId="67765782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Statusna dokumentacija:</w:t>
            </w:r>
          </w:p>
          <w:p w14:paraId="4207F383" w14:textId="77777777" w:rsidR="004E5FC9" w:rsidRPr="00567866" w:rsidRDefault="004E5FC9" w:rsidP="00AC3CC2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Izvadak iz Upisnika Poljoprivrednika (APPRRR) i/ili</w:t>
            </w:r>
          </w:p>
          <w:p w14:paraId="17BC2F0B" w14:textId="1E2C1BFB" w:rsidR="0079288A" w:rsidRPr="0079288A" w:rsidRDefault="00E94452" w:rsidP="0079288A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Posjednički list</w:t>
            </w:r>
            <w:r w:rsidR="00456795" w:rsidRPr="00456795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79288A">
              <w:rPr>
                <w:rFonts w:eastAsia="Times New Roman" w:cstheme="minorHAnsi"/>
                <w:color w:val="000000"/>
                <w:lang w:eastAsia="hr-HR"/>
              </w:rPr>
              <w:t>(</w:t>
            </w:r>
            <w:r w:rsidR="0079288A" w:rsidRPr="0079288A">
              <w:rPr>
                <w:rFonts w:eastAsia="Times New Roman" w:cstheme="minorHAnsi"/>
                <w:color w:val="000000"/>
                <w:lang w:eastAsia="hr-HR"/>
              </w:rPr>
              <w:t>Hrvatska poljoprivredna agencija</w:t>
            </w:r>
            <w:r w:rsidR="0079288A">
              <w:rPr>
                <w:rFonts w:eastAsia="Times New Roman" w:cstheme="minorHAnsi"/>
                <w:color w:val="000000"/>
                <w:lang w:eastAsia="hr-HR"/>
              </w:rPr>
              <w:t>)</w:t>
            </w:r>
            <w:r w:rsidR="0079288A" w:rsidRPr="0079288A">
              <w:rPr>
                <w:rFonts w:eastAsia="Times New Roman" w:cstheme="minorHAnsi"/>
                <w:color w:val="000000"/>
                <w:lang w:eastAsia="hr-HR"/>
              </w:rPr>
              <w:t xml:space="preserve"> ili</w:t>
            </w:r>
          </w:p>
          <w:p w14:paraId="4CA29E31" w14:textId="1DE29007" w:rsidR="004E5FC9" w:rsidRPr="00567866" w:rsidRDefault="004E5FC9" w:rsidP="00AC3CC2">
            <w:pPr>
              <w:pStyle w:val="ListParagraph"/>
              <w:numPr>
                <w:ilvl w:val="0"/>
                <w:numId w:val="13"/>
              </w:numPr>
              <w:ind w:left="601" w:hanging="425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Rješenje o potvrđivanju Proizvođačke organizacije (Ministarstvo poljoprivrede);</w:t>
            </w:r>
          </w:p>
          <w:p w14:paraId="159B9D43" w14:textId="4E9B1499" w:rsidR="004E5FC9" w:rsidRPr="00567866" w:rsidRDefault="004E5FC9" w:rsidP="0014513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567866">
              <w:rPr>
                <w:rFonts w:eastAsia="Times New Roman" w:cstheme="minorHAnsi"/>
                <w:color w:val="000000" w:themeColor="text1"/>
                <w:lang w:eastAsia="hr-HR"/>
              </w:rPr>
              <w:t>Rješenje o registraciji nadležnog tijela za preradu primarnih poljoprivrednih proizvoda, ovisno o djelatnosti</w:t>
            </w:r>
            <w:r w:rsidR="00FF44AC" w:rsidRPr="00567866">
              <w:rPr>
                <w:rFonts w:eastAsia="Times New Roman" w:cstheme="minorHAnsi"/>
                <w:color w:val="000000" w:themeColor="text1"/>
                <w:lang w:eastAsia="hr-HR"/>
              </w:rPr>
              <w:t xml:space="preserve"> (</w:t>
            </w:r>
            <w:r w:rsidR="00145138" w:rsidRPr="00567866">
              <w:rPr>
                <w:rFonts w:eastAsia="Times New Roman" w:cstheme="minorHAnsi"/>
                <w:color w:val="000000" w:themeColor="text1"/>
                <w:lang w:eastAsia="hr-HR"/>
              </w:rPr>
              <w:t>U slučaju pokretanja nove djelatnosti prerade primarnih poljoprivrednih proizvoda u sklopu podmjere 4.2. Podnositelj zahtjeva  Rješenje o registraciji objekta/pogona za preradu treba ishoditi (pri Ministarstvu zdravlja i/ili Upravi za veterinarstvo Ministarstva poljoprivrede) u pravilu u roku od 12 mjeseci od isteka roka za korištenje zajma i u pravilu ne kasnije od 30.6.202</w:t>
            </w:r>
            <w:r w:rsidR="007532E7">
              <w:rPr>
                <w:rFonts w:eastAsia="Times New Roman" w:cstheme="minorHAnsi"/>
                <w:color w:val="000000" w:themeColor="text1"/>
                <w:lang w:eastAsia="hr-HR"/>
              </w:rPr>
              <w:t>7</w:t>
            </w:r>
            <w:r w:rsidR="00145138" w:rsidRPr="00567866">
              <w:rPr>
                <w:rFonts w:eastAsia="Times New Roman" w:cstheme="minorHAnsi"/>
                <w:color w:val="000000" w:themeColor="text1"/>
                <w:lang w:eastAsia="hr-HR"/>
              </w:rPr>
              <w:t>., osim u iznimnim slučajevima kada navedeni rok može biti duži, pri čemu krajnji primatelj o navedenom izvješćuje HAMAG BICRO i uz obrazloženje traži produženje roka za dostavu navedenog rješenja</w:t>
            </w:r>
            <w:r w:rsidR="00FF44AC" w:rsidRPr="00567866">
              <w:rPr>
                <w:rFonts w:eastAsia="Times New Roman" w:cstheme="minorHAnsi"/>
                <w:color w:val="000000" w:themeColor="text1"/>
                <w:lang w:eastAsia="hr-HR"/>
              </w:rPr>
              <w:t>).</w:t>
            </w:r>
          </w:p>
        </w:tc>
      </w:tr>
      <w:tr w:rsidR="004E5FC9" w:rsidRPr="00567866" w14:paraId="78F1DFB2" w14:textId="77777777" w:rsidTr="00E72365">
        <w:tc>
          <w:tcPr>
            <w:tcW w:w="2263" w:type="dxa"/>
          </w:tcPr>
          <w:p w14:paraId="51EFB670" w14:textId="77777777" w:rsidR="004E5FC9" w:rsidRPr="00567866" w:rsidRDefault="004E5FC9" w:rsidP="00CD652A">
            <w:pPr>
              <w:rPr>
                <w:rFonts w:cstheme="minorHAnsi"/>
                <w:b/>
              </w:rPr>
            </w:pPr>
            <w:r w:rsidRPr="00567866">
              <w:rPr>
                <w:rFonts w:cstheme="minorHAnsi"/>
                <w:b/>
              </w:rPr>
              <w:t>4.2.2 KORIŠTENJE OBNOVLJIVIH IZVORA ENERGIJE</w:t>
            </w:r>
          </w:p>
        </w:tc>
        <w:tc>
          <w:tcPr>
            <w:tcW w:w="7230" w:type="dxa"/>
          </w:tcPr>
          <w:p w14:paraId="7436D102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Statusna dokumentacija:</w:t>
            </w:r>
          </w:p>
          <w:p w14:paraId="2558A5FE" w14:textId="0300D838" w:rsidR="0079288A" w:rsidRPr="00456795" w:rsidRDefault="004E5FC9" w:rsidP="00456795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Izvadak iz Upisnika Poljoprivrednika (APPRRR) i/ili</w:t>
            </w:r>
          </w:p>
          <w:p w14:paraId="54E4BD4A" w14:textId="25D8AC2C" w:rsidR="0079288A" w:rsidRPr="0079288A" w:rsidRDefault="00456795" w:rsidP="0079288A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Izvadak iz </w:t>
            </w:r>
            <w:r w:rsidRPr="00456795">
              <w:rPr>
                <w:rFonts w:eastAsia="Times New Roman" w:cstheme="minorHAnsi"/>
                <w:color w:val="000000"/>
                <w:lang w:eastAsia="hr-HR"/>
              </w:rPr>
              <w:t xml:space="preserve">Jedinstvenog registra domaćih životinja </w:t>
            </w:r>
            <w:r w:rsidR="0079288A">
              <w:rPr>
                <w:rFonts w:eastAsia="Times New Roman" w:cstheme="minorHAnsi"/>
                <w:color w:val="000000"/>
                <w:lang w:eastAsia="hr-HR"/>
              </w:rPr>
              <w:t>(</w:t>
            </w:r>
            <w:r w:rsidR="0079288A" w:rsidRPr="0079288A">
              <w:rPr>
                <w:rFonts w:eastAsia="Times New Roman" w:cstheme="minorHAnsi"/>
                <w:color w:val="000000"/>
                <w:lang w:eastAsia="hr-HR"/>
              </w:rPr>
              <w:t>Hrvatska poljoprivredna agencija</w:t>
            </w:r>
            <w:r w:rsidR="0079288A">
              <w:rPr>
                <w:rFonts w:eastAsia="Times New Roman" w:cstheme="minorHAnsi"/>
                <w:color w:val="000000"/>
                <w:lang w:eastAsia="hr-HR"/>
              </w:rPr>
              <w:t>)</w:t>
            </w:r>
            <w:r w:rsidR="0079288A" w:rsidRPr="0079288A">
              <w:rPr>
                <w:rFonts w:eastAsia="Times New Roman" w:cstheme="minorHAnsi"/>
                <w:color w:val="000000"/>
                <w:lang w:eastAsia="hr-HR"/>
              </w:rPr>
              <w:t xml:space="preserve"> ili</w:t>
            </w:r>
          </w:p>
          <w:p w14:paraId="3A8822AA" w14:textId="2AB60E8B" w:rsidR="004E5FC9" w:rsidRPr="00567866" w:rsidRDefault="004E5FC9" w:rsidP="00AC3CC2">
            <w:pPr>
              <w:pStyle w:val="ListParagraph"/>
              <w:numPr>
                <w:ilvl w:val="0"/>
                <w:numId w:val="13"/>
              </w:numPr>
              <w:ind w:left="601" w:hanging="425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Rješenje o potvrđivanju Proizvođačke organizacije (Ministarstvo poljoprivrede);</w:t>
            </w:r>
          </w:p>
          <w:p w14:paraId="0E1197D8" w14:textId="66FC4D9D" w:rsidR="004E5FC9" w:rsidRPr="00792619" w:rsidRDefault="00A13E95" w:rsidP="00792619">
            <w:pPr>
              <w:pStyle w:val="ListParagraph"/>
              <w:numPr>
                <w:ilvl w:val="0"/>
                <w:numId w:val="12"/>
              </w:numPr>
              <w:ind w:left="598" w:hanging="425"/>
              <w:jc w:val="both"/>
              <w:rPr>
                <w:rFonts w:cstheme="minorHAnsi"/>
              </w:rPr>
            </w:pPr>
            <w:r w:rsidRPr="00792619">
              <w:rPr>
                <w:rFonts w:eastAsia="Times New Roman" w:cstheme="minorHAnsi"/>
                <w:color w:val="000000" w:themeColor="text1"/>
                <w:lang w:eastAsia="hr-HR"/>
              </w:rPr>
              <w:t>Rješenje o registraciji nadležnog tijela za preradu primarnih poljoprivrednih proizvoda, ovisno o djelatnosti (</w:t>
            </w:r>
            <w:r w:rsidR="00145138" w:rsidRPr="00792619">
              <w:rPr>
                <w:rFonts w:eastAsia="Times New Roman" w:cstheme="minorHAnsi"/>
                <w:color w:val="000000" w:themeColor="text1"/>
                <w:lang w:eastAsia="hr-HR"/>
              </w:rPr>
              <w:t>U slučaju pokretanja nove djelatnosti prerade primarnih poljoprivrednih proizvoda u sklopu podmjere 4.2. Podnositelj zahtjeva  Rješenje o registraciji objekta/pogona za preradu treba ishoditi (pri Ministarstvu zdravlja i/ili Upravi za veterinarstvo Ministarstva poljoprivrede) u pravilu u roku od 12 mjeseci od isteka roka za korištenje zajma i u pravilu ne kasnije od 30.6.202</w:t>
            </w:r>
            <w:r w:rsidR="007532E7">
              <w:rPr>
                <w:rFonts w:eastAsia="Times New Roman" w:cstheme="minorHAnsi"/>
                <w:color w:val="000000" w:themeColor="text1"/>
                <w:lang w:eastAsia="hr-HR"/>
              </w:rPr>
              <w:t>7</w:t>
            </w:r>
            <w:r w:rsidR="00145138" w:rsidRPr="00792619">
              <w:rPr>
                <w:rFonts w:eastAsia="Times New Roman" w:cstheme="minorHAnsi"/>
                <w:color w:val="000000" w:themeColor="text1"/>
                <w:lang w:eastAsia="hr-HR"/>
              </w:rPr>
              <w:t xml:space="preserve">., osim u iznimnim slučajevima kada navedeni rok može biti </w:t>
            </w:r>
            <w:r w:rsidR="00145138" w:rsidRPr="00792619">
              <w:rPr>
                <w:rFonts w:eastAsia="Times New Roman" w:cstheme="minorHAnsi"/>
                <w:color w:val="000000" w:themeColor="text1"/>
                <w:lang w:eastAsia="hr-HR"/>
              </w:rPr>
              <w:lastRenderedPageBreak/>
              <w:t>duži, pri čemu krajnji primatelj o navedenom izvješćuje HAMAG BICRO i uz obrazloženje traži produženje roka za dostavu navedenog rješenja</w:t>
            </w:r>
            <w:r w:rsidRPr="00792619">
              <w:rPr>
                <w:rFonts w:eastAsia="Times New Roman" w:cstheme="minorHAnsi"/>
                <w:color w:val="000000" w:themeColor="text1"/>
                <w:lang w:eastAsia="hr-HR"/>
              </w:rPr>
              <w:t>).</w:t>
            </w:r>
          </w:p>
          <w:p w14:paraId="6772C0A4" w14:textId="77777777" w:rsidR="006B6B9E" w:rsidRDefault="006B6B9E" w:rsidP="006B6B9E">
            <w:pPr>
              <w:pStyle w:val="ListParagraph"/>
              <w:numPr>
                <w:ilvl w:val="0"/>
                <w:numId w:val="12"/>
              </w:numPr>
              <w:ind w:left="598" w:hanging="425"/>
              <w:jc w:val="both"/>
              <w:rPr>
                <w:rFonts w:cstheme="minorHAnsi"/>
              </w:rPr>
            </w:pPr>
            <w:r w:rsidRPr="006B6B9E">
              <w:rPr>
                <w:rFonts w:cstheme="minorHAnsi"/>
              </w:rPr>
              <w:t>„Godišnji plan proizvodnje“, potpisan i ovjeren od strane odgovorne osobe;</w:t>
            </w:r>
          </w:p>
          <w:p w14:paraId="47BE2EA0" w14:textId="7C03E698" w:rsidR="006B6B9E" w:rsidRPr="006B6B9E" w:rsidRDefault="006B6B9E" w:rsidP="006B6B9E">
            <w:pPr>
              <w:pStyle w:val="ListParagraph"/>
              <w:numPr>
                <w:ilvl w:val="0"/>
                <w:numId w:val="12"/>
              </w:numPr>
              <w:ind w:left="598" w:hanging="425"/>
              <w:jc w:val="both"/>
              <w:rPr>
                <w:rFonts w:cstheme="minorHAnsi"/>
              </w:rPr>
            </w:pPr>
            <w:r w:rsidRPr="006B6B9E">
              <w:rPr>
                <w:rFonts w:cstheme="minorHAnsi"/>
              </w:rPr>
              <w:t>Tehnički opis proizvodnog postrojenja, potpisan i ovjeren od strane odgovorne osobe;</w:t>
            </w:r>
          </w:p>
          <w:p w14:paraId="13A696BF" w14:textId="3C413A6C" w:rsidR="00AD21FC" w:rsidRPr="00AD21FC" w:rsidRDefault="006B6B9E" w:rsidP="00AD21FC">
            <w:pPr>
              <w:pStyle w:val="ListParagraph"/>
              <w:numPr>
                <w:ilvl w:val="0"/>
                <w:numId w:val="12"/>
              </w:numPr>
              <w:spacing w:after="120"/>
              <w:ind w:left="601" w:hanging="425"/>
              <w:jc w:val="both"/>
              <w:rPr>
                <w:rFonts w:cstheme="minorHAnsi"/>
              </w:rPr>
            </w:pPr>
            <w:r w:rsidRPr="006B6B9E">
              <w:rPr>
                <w:rFonts w:cstheme="minorHAnsi"/>
              </w:rPr>
              <w:t>Potvrda izdana, potpisana i ovjerena od strane HEP Operator distribucijskog sustava d.o.o. da postrojenje za proizvodnju toplinske i/ili električne energije koje koristi obnovljive izvore energije nema mogućnost pristupa električnoj mreži.</w:t>
            </w:r>
          </w:p>
        </w:tc>
      </w:tr>
      <w:tr w:rsidR="004E5FC9" w:rsidRPr="00567866" w14:paraId="4D7B18AD" w14:textId="77777777" w:rsidTr="00E72365">
        <w:tc>
          <w:tcPr>
            <w:tcW w:w="2263" w:type="dxa"/>
          </w:tcPr>
          <w:p w14:paraId="721FA659" w14:textId="77777777" w:rsidR="004E5FC9" w:rsidRPr="00567866" w:rsidRDefault="004E5FC9" w:rsidP="00CD652A">
            <w:pPr>
              <w:rPr>
                <w:rFonts w:cstheme="minorHAnsi"/>
                <w:b/>
              </w:rPr>
            </w:pPr>
            <w:r w:rsidRPr="00567866">
              <w:rPr>
                <w:rFonts w:cstheme="minorHAnsi"/>
                <w:b/>
              </w:rPr>
              <w:lastRenderedPageBreak/>
              <w:t>6.4.1 RAZVOJ NEPOLJOPRIVREDNIH DJELATNOSTI U RURALNIM PODRUČJIMA</w:t>
            </w:r>
          </w:p>
        </w:tc>
        <w:tc>
          <w:tcPr>
            <w:tcW w:w="7230" w:type="dxa"/>
          </w:tcPr>
          <w:p w14:paraId="433D99BF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Statusna dokumentacija:</w:t>
            </w:r>
          </w:p>
          <w:p w14:paraId="2D400024" w14:textId="77777777" w:rsidR="004E5FC9" w:rsidRPr="00567866" w:rsidRDefault="004E5FC9" w:rsidP="00AC3CC2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 xml:space="preserve">Izvadak iz Upisnika Poljoprivrednika (APPRRR) </w:t>
            </w:r>
          </w:p>
          <w:p w14:paraId="0B52310F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 xml:space="preserve">Potvrda o Ekonomskoj veličini poljoprivrednog gospodarstva </w:t>
            </w:r>
            <w:r w:rsidRPr="00567866">
              <w:rPr>
                <w:rFonts w:eastAsia="Times New Roman" w:cstheme="minorHAnsi"/>
                <w:color w:val="000000" w:themeColor="text1"/>
                <w:lang w:eastAsia="hr-HR"/>
              </w:rPr>
              <w:t>(Hrvatska poljoprivredno-šumarska savjetodavna služba);</w:t>
            </w:r>
          </w:p>
          <w:p w14:paraId="6B30C6F7" w14:textId="46CF8073" w:rsidR="004E5FC9" w:rsidRPr="00211D90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567866">
              <w:rPr>
                <w:rFonts w:eastAsia="Times New Roman" w:cstheme="minorHAnsi"/>
                <w:color w:val="000000" w:themeColor="text1"/>
                <w:lang w:eastAsia="hr-HR"/>
              </w:rPr>
              <w:t>Rješenje o registraciji nadležnog tijela, ovisno o nepoljoprivrednoj  djelatnosti (</w:t>
            </w:r>
            <w:r w:rsidRPr="00567866">
              <w:rPr>
                <w:rFonts w:cstheme="minorHAnsi"/>
                <w:color w:val="000000" w:themeColor="text1"/>
              </w:rPr>
              <w:t>npr. rješenje Ministarstva turizma o registraciji objekta za ruralni turizam)</w:t>
            </w:r>
          </w:p>
          <w:p w14:paraId="494DEC9D" w14:textId="30D34094" w:rsidR="004E5FC9" w:rsidRPr="00A253BE" w:rsidRDefault="0024422C" w:rsidP="00A253BE">
            <w:pPr>
              <w:pStyle w:val="ListParagraph"/>
              <w:numPr>
                <w:ilvl w:val="0"/>
                <w:numId w:val="12"/>
              </w:numPr>
              <w:ind w:left="603" w:hanging="425"/>
              <w:jc w:val="both"/>
              <w:rPr>
                <w:rFonts w:cstheme="minorHAnsi"/>
              </w:rPr>
            </w:pPr>
            <w:r w:rsidRPr="00A253BE">
              <w:rPr>
                <w:rFonts w:eastAsia="Times New Roman" w:cstheme="minorHAnsi"/>
                <w:color w:val="000000" w:themeColor="text1"/>
                <w:lang w:eastAsia="hr-HR"/>
              </w:rPr>
              <w:t>dokaz da se temeljem obavljanja gospodarske djelatnosti poljoprivrede ostvaruje najmanje 20% prihoda (što ne uključuje prihode ostvarene po osnovi izravnih potpora)</w:t>
            </w:r>
          </w:p>
        </w:tc>
      </w:tr>
      <w:tr w:rsidR="004E5FC9" w:rsidRPr="00567866" w14:paraId="1784EF18" w14:textId="77777777" w:rsidTr="00E72365">
        <w:tc>
          <w:tcPr>
            <w:tcW w:w="2263" w:type="dxa"/>
          </w:tcPr>
          <w:p w14:paraId="066E964B" w14:textId="77777777" w:rsidR="004E5FC9" w:rsidRPr="00567866" w:rsidRDefault="004E5FC9" w:rsidP="00AD21FC">
            <w:pPr>
              <w:spacing w:after="120"/>
              <w:rPr>
                <w:rFonts w:cstheme="minorHAnsi"/>
                <w:b/>
              </w:rPr>
            </w:pPr>
            <w:r w:rsidRPr="00567866">
              <w:rPr>
                <w:rFonts w:cstheme="minorHAnsi"/>
                <w:b/>
              </w:rPr>
              <w:t>8.6.1 MODERNIZACIJA TEHNOLOGIJA, STROJEVA, ALATA I OPREME U PRIDOBIVANJU DRVA I ŠUMSKOUZGOJNIM RADOVIMA</w:t>
            </w:r>
          </w:p>
        </w:tc>
        <w:tc>
          <w:tcPr>
            <w:tcW w:w="7230" w:type="dxa"/>
          </w:tcPr>
          <w:p w14:paraId="5B886EDF" w14:textId="77777777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Statusna dokumentacija:</w:t>
            </w:r>
          </w:p>
          <w:p w14:paraId="1C12409F" w14:textId="77777777" w:rsidR="004E5FC9" w:rsidRPr="00567866" w:rsidRDefault="004E5FC9" w:rsidP="00AC3CC2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Izvadak iz Upisnika šumoposjednika pri Ministarstvu poljoprivrede;</w:t>
            </w:r>
          </w:p>
          <w:p w14:paraId="6EBCE4C4" w14:textId="3B053C7C" w:rsidR="00150CB8" w:rsidRPr="00567866" w:rsidRDefault="004E5FC9" w:rsidP="00150CB8">
            <w:pPr>
              <w:pStyle w:val="ListParagraph"/>
              <w:numPr>
                <w:ilvl w:val="0"/>
                <w:numId w:val="13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Izvadak iz Registra udruga izdan od nadležnog ureda državne uprave;</w:t>
            </w:r>
          </w:p>
          <w:p w14:paraId="5824D179" w14:textId="2B915A42" w:rsidR="004E5FC9" w:rsidRPr="00567866" w:rsidRDefault="00150CB8" w:rsidP="00072F4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Preslik</w:t>
            </w:r>
            <w:r w:rsidR="004D4199" w:rsidRPr="00567866">
              <w:rPr>
                <w:rFonts w:eastAsia="Times New Roman" w:cstheme="minorHAnsi"/>
                <w:color w:val="000000"/>
                <w:lang w:eastAsia="hr-HR"/>
              </w:rPr>
              <w:t>a</w:t>
            </w:r>
            <w:r w:rsidRPr="00567866">
              <w:rPr>
                <w:rFonts w:eastAsia="Times New Roman" w:cstheme="minorHAnsi"/>
                <w:color w:val="000000"/>
                <w:lang w:eastAsia="hr-HR"/>
              </w:rPr>
              <w:t xml:space="preserve"> Licence za izvođenje radova u šumarstvu</w:t>
            </w:r>
          </w:p>
        </w:tc>
      </w:tr>
      <w:tr w:rsidR="004E5FC9" w:rsidRPr="00567866" w14:paraId="19C71C3E" w14:textId="77777777" w:rsidTr="00E72365">
        <w:tc>
          <w:tcPr>
            <w:tcW w:w="2263" w:type="dxa"/>
          </w:tcPr>
          <w:p w14:paraId="61D520EB" w14:textId="77777777" w:rsidR="004E5FC9" w:rsidRPr="00567866" w:rsidRDefault="004E5FC9" w:rsidP="00CD652A">
            <w:pPr>
              <w:rPr>
                <w:rFonts w:cstheme="minorHAnsi"/>
                <w:b/>
              </w:rPr>
            </w:pPr>
            <w:r w:rsidRPr="00567866">
              <w:rPr>
                <w:rFonts w:cstheme="minorHAnsi"/>
                <w:b/>
              </w:rPr>
              <w:t>8.6.2 MODERNIZACIJA TEHNOLOGIJA, STROJEVA, ALATA I OPREME U PREDINDUSTRIJSKOJ PRERADI DRVA</w:t>
            </w:r>
          </w:p>
        </w:tc>
        <w:tc>
          <w:tcPr>
            <w:tcW w:w="7230" w:type="dxa"/>
          </w:tcPr>
          <w:p w14:paraId="485CAFDC" w14:textId="236A3385" w:rsidR="004E5FC9" w:rsidRPr="00567866" w:rsidRDefault="004E5FC9" w:rsidP="00AC3CC2">
            <w:pPr>
              <w:pStyle w:val="ListParagraph"/>
              <w:numPr>
                <w:ilvl w:val="0"/>
                <w:numId w:val="12"/>
              </w:numPr>
              <w:ind w:left="601" w:hanging="425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567866">
              <w:rPr>
                <w:rFonts w:eastAsia="Times New Roman" w:cstheme="minorHAnsi"/>
                <w:color w:val="000000"/>
                <w:lang w:eastAsia="hr-HR"/>
              </w:rPr>
              <w:t>Obavijest o razvrstavanju poslovnog subjekta sukladno Nacionalnoj klasifikaciji djelatnosti za područje C, odjeljak 16.</w:t>
            </w:r>
          </w:p>
          <w:p w14:paraId="26D3789E" w14:textId="224A3274" w:rsidR="004E5FC9" w:rsidRPr="00567866" w:rsidRDefault="004E5FC9" w:rsidP="00567866">
            <w:pPr>
              <w:pStyle w:val="ListParagraph"/>
              <w:ind w:left="601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14:paraId="06933E02" w14:textId="3B45A560" w:rsidR="004E5979" w:rsidRDefault="004E5979" w:rsidP="00FC2081">
      <w:pPr>
        <w:rPr>
          <w:rFonts w:cstheme="minorHAnsi"/>
        </w:rPr>
      </w:pPr>
    </w:p>
    <w:p w14:paraId="3D0FE490" w14:textId="77777777" w:rsidR="00E72365" w:rsidRPr="00A41B5A" w:rsidRDefault="00E72365" w:rsidP="00E72365">
      <w:pPr>
        <w:spacing w:after="100" w:line="240" w:lineRule="auto"/>
        <w:ind w:left="11" w:hanging="11"/>
        <w:jc w:val="both"/>
        <w:rPr>
          <w:rFonts w:ascii="Calibri" w:eastAsia="Arial" w:hAnsi="Calibri" w:cs="Calibri"/>
          <w:color w:val="000000"/>
          <w:lang w:val="hr-HR" w:eastAsia="hr-HR"/>
        </w:rPr>
      </w:pPr>
      <w:r w:rsidRPr="00A41B5A">
        <w:rPr>
          <w:rFonts w:ascii="Calibri" w:eastAsia="Arial" w:hAnsi="Calibri" w:cs="Calibri"/>
          <w:color w:val="000000"/>
          <w:lang w:val="hr-HR" w:eastAsia="hr-HR"/>
        </w:rPr>
        <w:t xml:space="preserve">Obrazac zahtjeva za zajam nije potrebno dostavljati, već se isti generira po završetku on-line prijave. </w:t>
      </w:r>
    </w:p>
    <w:p w14:paraId="25C04A2C" w14:textId="77777777" w:rsidR="00E72365" w:rsidRPr="00A41B5A" w:rsidRDefault="00E72365" w:rsidP="00E72365">
      <w:pPr>
        <w:spacing w:after="100" w:line="240" w:lineRule="auto"/>
        <w:ind w:left="11" w:hanging="11"/>
        <w:jc w:val="both"/>
        <w:rPr>
          <w:rFonts w:ascii="Calibri" w:eastAsia="Arial" w:hAnsi="Calibri" w:cs="Calibri"/>
          <w:color w:val="000000"/>
          <w:lang w:val="hr-HR" w:eastAsia="hr-HR"/>
        </w:rPr>
      </w:pPr>
      <w:r w:rsidRPr="00A41B5A">
        <w:rPr>
          <w:rFonts w:ascii="Calibri" w:eastAsia="Arial" w:hAnsi="Calibri" w:cs="Calibri"/>
          <w:color w:val="000000"/>
          <w:lang w:val="hr-HR" w:eastAsia="hr-HR"/>
        </w:rPr>
        <w:t>HAMAG-BICRO-a u svakom trenutku zadržava pravo promijeniti ili nadopuniti potrebnu dokumentaciju.</w:t>
      </w:r>
    </w:p>
    <w:p w14:paraId="5CEA3600" w14:textId="77777777" w:rsidR="00E72365" w:rsidRPr="00A41B5A" w:rsidRDefault="00E72365" w:rsidP="00E72365">
      <w:pPr>
        <w:spacing w:after="100" w:line="240" w:lineRule="auto"/>
        <w:ind w:left="10" w:hanging="10"/>
        <w:jc w:val="both"/>
        <w:rPr>
          <w:rFonts w:ascii="Calibri" w:eastAsia="Arial" w:hAnsi="Calibri" w:cs="Calibri"/>
          <w:color w:val="000000"/>
          <w:lang w:val="hr-HR" w:eastAsia="hr-HR"/>
        </w:rPr>
      </w:pPr>
      <w:r w:rsidRPr="00A41B5A">
        <w:rPr>
          <w:rFonts w:ascii="Calibri" w:eastAsia="Arial" w:hAnsi="Calibri" w:cs="Calibri"/>
          <w:color w:val="000000"/>
          <w:lang w:val="hr-HR" w:eastAsia="hr-HR"/>
        </w:rPr>
        <w:t>HAMAG-BICRO zadržava pravo zatražiti i ostalu dokumentaciju potrebnu za obradu zahtjeva za zajam.</w:t>
      </w:r>
    </w:p>
    <w:p w14:paraId="79E630EF" w14:textId="77777777" w:rsidR="00E72365" w:rsidRPr="00A41B5A" w:rsidRDefault="00E72365" w:rsidP="00FC2081">
      <w:pPr>
        <w:rPr>
          <w:rFonts w:cstheme="minorHAnsi"/>
        </w:rPr>
      </w:pPr>
    </w:p>
    <w:p w14:paraId="102BABDC" w14:textId="58F105DE" w:rsidR="00D66A97" w:rsidRPr="00A41B5A" w:rsidRDefault="00A22003" w:rsidP="00E72365">
      <w:pPr>
        <w:rPr>
          <w:rFonts w:cstheme="minorHAnsi"/>
        </w:rPr>
      </w:pPr>
      <w:r w:rsidRPr="00A41B5A">
        <w:rPr>
          <w:rStyle w:val="fontstyle01"/>
          <w:sz w:val="22"/>
          <w:szCs w:val="22"/>
        </w:rPr>
        <w:t xml:space="preserve">Primjenjuje se od: </w:t>
      </w:r>
      <w:r w:rsidR="00EF33C7">
        <w:rPr>
          <w:rStyle w:val="fontstyle01"/>
          <w:sz w:val="22"/>
          <w:szCs w:val="22"/>
        </w:rPr>
        <w:t>17</w:t>
      </w:r>
      <w:r w:rsidR="00A322A0">
        <w:rPr>
          <w:rStyle w:val="fontstyle01"/>
          <w:sz w:val="22"/>
          <w:szCs w:val="22"/>
        </w:rPr>
        <w:t>.</w:t>
      </w:r>
      <w:r w:rsidR="00EF33C7">
        <w:rPr>
          <w:rStyle w:val="fontstyle01"/>
          <w:sz w:val="22"/>
          <w:szCs w:val="22"/>
        </w:rPr>
        <w:t>03</w:t>
      </w:r>
      <w:r w:rsidR="00A322A0">
        <w:rPr>
          <w:rStyle w:val="fontstyle01"/>
          <w:sz w:val="22"/>
          <w:szCs w:val="22"/>
        </w:rPr>
        <w:t>.</w:t>
      </w:r>
      <w:r w:rsidRPr="00A41B5A">
        <w:rPr>
          <w:rStyle w:val="fontstyle01"/>
          <w:sz w:val="22"/>
          <w:szCs w:val="22"/>
        </w:rPr>
        <w:t>202</w:t>
      </w:r>
      <w:r w:rsidR="00A322A0">
        <w:rPr>
          <w:rStyle w:val="fontstyle01"/>
          <w:sz w:val="22"/>
          <w:szCs w:val="22"/>
        </w:rPr>
        <w:t>5</w:t>
      </w:r>
      <w:r w:rsidRPr="00A41B5A">
        <w:rPr>
          <w:rStyle w:val="fontstyle01"/>
          <w:sz w:val="22"/>
          <w:szCs w:val="22"/>
        </w:rPr>
        <w:t>. godine</w:t>
      </w:r>
      <w:r w:rsidR="004E5979" w:rsidRPr="00A41B5A">
        <w:rPr>
          <w:rFonts w:cstheme="minorHAnsi"/>
        </w:rPr>
        <w:tab/>
      </w:r>
    </w:p>
    <w:sectPr w:rsidR="00D66A97" w:rsidRPr="00A41B5A" w:rsidSect="00E86AA1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F68EC" w14:textId="77777777" w:rsidR="007F327B" w:rsidRDefault="007F327B" w:rsidP="00FC2081">
      <w:pPr>
        <w:spacing w:after="0" w:line="240" w:lineRule="auto"/>
      </w:pPr>
      <w:r>
        <w:separator/>
      </w:r>
    </w:p>
  </w:endnote>
  <w:endnote w:type="continuationSeparator" w:id="0">
    <w:p w14:paraId="23475B2D" w14:textId="77777777" w:rsidR="007F327B" w:rsidRDefault="007F327B" w:rsidP="00FC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6533" w14:textId="201B2F14" w:rsidR="00567866" w:rsidRDefault="00E86AA1" w:rsidP="004E5979">
    <w:pPr>
      <w:pStyle w:val="Footer"/>
      <w:jc w:val="center"/>
    </w:pPr>
    <w:r>
      <w:rPr>
        <w:noProof/>
      </w:rPr>
      <w:drawing>
        <wp:inline distT="0" distB="0" distL="0" distR="0" wp14:anchorId="4DE9CAD6" wp14:editId="2AB43D0E">
          <wp:extent cx="4595091" cy="97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091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871D9" w14:textId="2E088288" w:rsidR="00567866" w:rsidRDefault="00567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8303" w14:textId="77777777" w:rsidR="007F327B" w:rsidRDefault="007F327B" w:rsidP="00FC2081">
      <w:pPr>
        <w:spacing w:after="0" w:line="240" w:lineRule="auto"/>
      </w:pPr>
      <w:r>
        <w:separator/>
      </w:r>
    </w:p>
  </w:footnote>
  <w:footnote w:type="continuationSeparator" w:id="0">
    <w:p w14:paraId="18B6AB94" w14:textId="77777777" w:rsidR="007F327B" w:rsidRDefault="007F327B" w:rsidP="00FC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EE1F" w14:textId="7ED985DE" w:rsidR="00567866" w:rsidRDefault="004E5979">
    <w:pPr>
      <w:pStyle w:val="Header"/>
    </w:pPr>
    <w:r>
      <w:rPr>
        <w:noProof/>
        <w:lang w:eastAsia="hr-BA"/>
      </w:rPr>
      <w:drawing>
        <wp:inline distT="0" distB="0" distL="0" distR="0" wp14:anchorId="6EE6511C" wp14:editId="3B07719A">
          <wp:extent cx="5760720" cy="8185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3A86"/>
    <w:multiLevelType w:val="hybridMultilevel"/>
    <w:tmpl w:val="1A4061E8"/>
    <w:lvl w:ilvl="0" w:tplc="1758D5A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7E59"/>
    <w:multiLevelType w:val="hybridMultilevel"/>
    <w:tmpl w:val="EE9C96E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25C3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564"/>
    <w:multiLevelType w:val="hybridMultilevel"/>
    <w:tmpl w:val="4D366C0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05D48"/>
    <w:multiLevelType w:val="hybridMultilevel"/>
    <w:tmpl w:val="AFDAE22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7E51"/>
    <w:multiLevelType w:val="hybridMultilevel"/>
    <w:tmpl w:val="B84A712E"/>
    <w:lvl w:ilvl="0" w:tplc="A6F0F6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7163"/>
    <w:multiLevelType w:val="hybridMultilevel"/>
    <w:tmpl w:val="52D4E342"/>
    <w:lvl w:ilvl="0" w:tplc="1758D5A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53E4"/>
    <w:multiLevelType w:val="hybridMultilevel"/>
    <w:tmpl w:val="B75018FC"/>
    <w:lvl w:ilvl="0" w:tplc="1758D5A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957BC"/>
    <w:multiLevelType w:val="hybridMultilevel"/>
    <w:tmpl w:val="26200F1C"/>
    <w:lvl w:ilvl="0" w:tplc="1758D5A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D150E"/>
    <w:multiLevelType w:val="hybridMultilevel"/>
    <w:tmpl w:val="C53065E0"/>
    <w:lvl w:ilvl="0" w:tplc="8278A5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43E69"/>
    <w:multiLevelType w:val="hybridMultilevel"/>
    <w:tmpl w:val="140EDF66"/>
    <w:lvl w:ilvl="0" w:tplc="8278A5B8">
      <w:start w:val="10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3058A"/>
    <w:multiLevelType w:val="hybridMultilevel"/>
    <w:tmpl w:val="480EA61C"/>
    <w:lvl w:ilvl="0" w:tplc="101A000F">
      <w:start w:val="1"/>
      <w:numFmt w:val="decimal"/>
      <w:lvlText w:val="%1."/>
      <w:lvlJc w:val="left"/>
      <w:pPr>
        <w:ind w:left="1785" w:hanging="360"/>
      </w:pPr>
    </w:lvl>
    <w:lvl w:ilvl="1" w:tplc="101A0019" w:tentative="1">
      <w:start w:val="1"/>
      <w:numFmt w:val="lowerLetter"/>
      <w:lvlText w:val="%2."/>
      <w:lvlJc w:val="left"/>
      <w:pPr>
        <w:ind w:left="2505" w:hanging="360"/>
      </w:pPr>
    </w:lvl>
    <w:lvl w:ilvl="2" w:tplc="101A001B" w:tentative="1">
      <w:start w:val="1"/>
      <w:numFmt w:val="lowerRoman"/>
      <w:lvlText w:val="%3."/>
      <w:lvlJc w:val="right"/>
      <w:pPr>
        <w:ind w:left="3225" w:hanging="180"/>
      </w:pPr>
    </w:lvl>
    <w:lvl w:ilvl="3" w:tplc="101A000F" w:tentative="1">
      <w:start w:val="1"/>
      <w:numFmt w:val="decimal"/>
      <w:lvlText w:val="%4."/>
      <w:lvlJc w:val="left"/>
      <w:pPr>
        <w:ind w:left="3945" w:hanging="360"/>
      </w:pPr>
    </w:lvl>
    <w:lvl w:ilvl="4" w:tplc="101A0019" w:tentative="1">
      <w:start w:val="1"/>
      <w:numFmt w:val="lowerLetter"/>
      <w:lvlText w:val="%5."/>
      <w:lvlJc w:val="left"/>
      <w:pPr>
        <w:ind w:left="4665" w:hanging="360"/>
      </w:pPr>
    </w:lvl>
    <w:lvl w:ilvl="5" w:tplc="101A001B" w:tentative="1">
      <w:start w:val="1"/>
      <w:numFmt w:val="lowerRoman"/>
      <w:lvlText w:val="%6."/>
      <w:lvlJc w:val="right"/>
      <w:pPr>
        <w:ind w:left="5385" w:hanging="180"/>
      </w:pPr>
    </w:lvl>
    <w:lvl w:ilvl="6" w:tplc="101A000F" w:tentative="1">
      <w:start w:val="1"/>
      <w:numFmt w:val="decimal"/>
      <w:lvlText w:val="%7."/>
      <w:lvlJc w:val="left"/>
      <w:pPr>
        <w:ind w:left="6105" w:hanging="360"/>
      </w:pPr>
    </w:lvl>
    <w:lvl w:ilvl="7" w:tplc="101A0019" w:tentative="1">
      <w:start w:val="1"/>
      <w:numFmt w:val="lowerLetter"/>
      <w:lvlText w:val="%8."/>
      <w:lvlJc w:val="left"/>
      <w:pPr>
        <w:ind w:left="6825" w:hanging="360"/>
      </w:pPr>
    </w:lvl>
    <w:lvl w:ilvl="8" w:tplc="10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66C67D7C"/>
    <w:multiLevelType w:val="hybridMultilevel"/>
    <w:tmpl w:val="B6A2D768"/>
    <w:lvl w:ilvl="0" w:tplc="1758D5A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B17"/>
    <w:multiLevelType w:val="hybridMultilevel"/>
    <w:tmpl w:val="DEEEF172"/>
    <w:lvl w:ilvl="0" w:tplc="10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53">
    <w:abstractNumId w:val="12"/>
  </w:num>
  <w:num w:numId="2" w16cid:durableId="717901118">
    <w:abstractNumId w:val="3"/>
  </w:num>
  <w:num w:numId="3" w16cid:durableId="2115049506">
    <w:abstractNumId w:val="1"/>
  </w:num>
  <w:num w:numId="4" w16cid:durableId="1337922849">
    <w:abstractNumId w:val="9"/>
  </w:num>
  <w:num w:numId="5" w16cid:durableId="1323510394">
    <w:abstractNumId w:val="8"/>
  </w:num>
  <w:num w:numId="6" w16cid:durableId="309946359">
    <w:abstractNumId w:val="0"/>
  </w:num>
  <w:num w:numId="7" w16cid:durableId="84738662">
    <w:abstractNumId w:val="10"/>
  </w:num>
  <w:num w:numId="8" w16cid:durableId="981036090">
    <w:abstractNumId w:val="6"/>
  </w:num>
  <w:num w:numId="9" w16cid:durableId="715742328">
    <w:abstractNumId w:val="11"/>
  </w:num>
  <w:num w:numId="10" w16cid:durableId="69548381">
    <w:abstractNumId w:val="5"/>
  </w:num>
  <w:num w:numId="11" w16cid:durableId="1645743108">
    <w:abstractNumId w:val="7"/>
  </w:num>
  <w:num w:numId="12" w16cid:durableId="409811337">
    <w:abstractNumId w:val="4"/>
  </w:num>
  <w:num w:numId="13" w16cid:durableId="1555583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F6"/>
    <w:rsid w:val="00012F01"/>
    <w:rsid w:val="00024412"/>
    <w:rsid w:val="00064E79"/>
    <w:rsid w:val="00072F40"/>
    <w:rsid w:val="0008785F"/>
    <w:rsid w:val="000F3849"/>
    <w:rsid w:val="00120A36"/>
    <w:rsid w:val="00145138"/>
    <w:rsid w:val="00150CB8"/>
    <w:rsid w:val="00165F64"/>
    <w:rsid w:val="001C08B9"/>
    <w:rsid w:val="00211D90"/>
    <w:rsid w:val="00241D0E"/>
    <w:rsid w:val="0024422C"/>
    <w:rsid w:val="00246CC0"/>
    <w:rsid w:val="00280D7F"/>
    <w:rsid w:val="002A03A8"/>
    <w:rsid w:val="003710F6"/>
    <w:rsid w:val="00396DAC"/>
    <w:rsid w:val="003A6CAD"/>
    <w:rsid w:val="003D5A25"/>
    <w:rsid w:val="00421050"/>
    <w:rsid w:val="00442370"/>
    <w:rsid w:val="00456795"/>
    <w:rsid w:val="004B7CD4"/>
    <w:rsid w:val="004C0126"/>
    <w:rsid w:val="004C19A4"/>
    <w:rsid w:val="004D4199"/>
    <w:rsid w:val="004D51A0"/>
    <w:rsid w:val="004E2BB0"/>
    <w:rsid w:val="004E5979"/>
    <w:rsid w:val="004E5FC9"/>
    <w:rsid w:val="004F10C0"/>
    <w:rsid w:val="00540B73"/>
    <w:rsid w:val="00543A72"/>
    <w:rsid w:val="00555F9D"/>
    <w:rsid w:val="00567866"/>
    <w:rsid w:val="005723FE"/>
    <w:rsid w:val="005C5319"/>
    <w:rsid w:val="005C6586"/>
    <w:rsid w:val="005C7BB6"/>
    <w:rsid w:val="006828C8"/>
    <w:rsid w:val="006847D7"/>
    <w:rsid w:val="006A0DC2"/>
    <w:rsid w:val="006B55E5"/>
    <w:rsid w:val="006B6B9E"/>
    <w:rsid w:val="006D3533"/>
    <w:rsid w:val="00700741"/>
    <w:rsid w:val="00707CFD"/>
    <w:rsid w:val="007343AD"/>
    <w:rsid w:val="007345E4"/>
    <w:rsid w:val="007418EC"/>
    <w:rsid w:val="00752FDE"/>
    <w:rsid w:val="007532E7"/>
    <w:rsid w:val="00766D34"/>
    <w:rsid w:val="00792619"/>
    <w:rsid w:val="0079288A"/>
    <w:rsid w:val="007B593F"/>
    <w:rsid w:val="007F327B"/>
    <w:rsid w:val="00825146"/>
    <w:rsid w:val="00866E28"/>
    <w:rsid w:val="00893F18"/>
    <w:rsid w:val="008A39F6"/>
    <w:rsid w:val="008A5F76"/>
    <w:rsid w:val="00A04794"/>
    <w:rsid w:val="00A13E95"/>
    <w:rsid w:val="00A22003"/>
    <w:rsid w:val="00A253BE"/>
    <w:rsid w:val="00A322A0"/>
    <w:rsid w:val="00A35DE5"/>
    <w:rsid w:val="00A41B5A"/>
    <w:rsid w:val="00A87426"/>
    <w:rsid w:val="00AC2C7B"/>
    <w:rsid w:val="00AC3CC2"/>
    <w:rsid w:val="00AD21FC"/>
    <w:rsid w:val="00AE6573"/>
    <w:rsid w:val="00B236FC"/>
    <w:rsid w:val="00B9061C"/>
    <w:rsid w:val="00BB067E"/>
    <w:rsid w:val="00BB5034"/>
    <w:rsid w:val="00BD1B4A"/>
    <w:rsid w:val="00C22429"/>
    <w:rsid w:val="00C81BB6"/>
    <w:rsid w:val="00D077D7"/>
    <w:rsid w:val="00D1041D"/>
    <w:rsid w:val="00D44513"/>
    <w:rsid w:val="00D66A97"/>
    <w:rsid w:val="00D93837"/>
    <w:rsid w:val="00E16BD1"/>
    <w:rsid w:val="00E315D1"/>
    <w:rsid w:val="00E5773F"/>
    <w:rsid w:val="00E72365"/>
    <w:rsid w:val="00E86AA1"/>
    <w:rsid w:val="00E94452"/>
    <w:rsid w:val="00ED0D0A"/>
    <w:rsid w:val="00ED475E"/>
    <w:rsid w:val="00EF33C7"/>
    <w:rsid w:val="00F34628"/>
    <w:rsid w:val="00F630CA"/>
    <w:rsid w:val="00F7118A"/>
    <w:rsid w:val="00FC2081"/>
    <w:rsid w:val="00FE6596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6B8BB"/>
  <w15:chartTrackingRefBased/>
  <w15:docId w15:val="{7C1C77BF-1C9A-4E1D-91DD-F2F5C87D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C20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C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f,Footnote text"/>
    <w:basedOn w:val="Normal"/>
    <w:link w:val="FootnoteTextChar"/>
    <w:uiPriority w:val="99"/>
    <w:unhideWhenUsed/>
    <w:qFormat/>
    <w:rsid w:val="00FC20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,Podrozdział Char,Fußnotentextf Char,Footnote Text Char Char Char,single space Char,footnote text Char,FOOTNOTES Char,fn Char,stile 1 Char,Footnote Char,Footnote1 Char,Footnote2 Char,Footnote3 Char,Footnote4 Char,f Char"/>
    <w:basedOn w:val="DefaultParagraphFont"/>
    <w:link w:val="FootnoteText"/>
    <w:uiPriority w:val="99"/>
    <w:rsid w:val="00FC20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08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5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FC9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FC9"/>
    <w:rPr>
      <w:sz w:val="20"/>
      <w:szCs w:val="20"/>
      <w:lang w:val="hr-HR"/>
    </w:rPr>
  </w:style>
  <w:style w:type="paragraph" w:customStyle="1" w:styleId="tekst">
    <w:name w:val="tekst"/>
    <w:basedOn w:val="Normal"/>
    <w:rsid w:val="004E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ld-2">
    <w:name w:val="bold-2"/>
    <w:basedOn w:val="DefaultParagraphFont"/>
    <w:rsid w:val="004E5FC9"/>
  </w:style>
  <w:style w:type="character" w:customStyle="1" w:styleId="kurziv">
    <w:name w:val="kurziv"/>
    <w:basedOn w:val="DefaultParagraphFont"/>
    <w:rsid w:val="004E5FC9"/>
  </w:style>
  <w:style w:type="character" w:customStyle="1" w:styleId="bold-kurziv">
    <w:name w:val="bold-kurziv"/>
    <w:basedOn w:val="DefaultParagraphFont"/>
    <w:rsid w:val="004E5FC9"/>
  </w:style>
  <w:style w:type="paragraph" w:styleId="BalloonText">
    <w:name w:val="Balloon Text"/>
    <w:basedOn w:val="Normal"/>
    <w:link w:val="BalloonTextChar"/>
    <w:uiPriority w:val="99"/>
    <w:semiHidden/>
    <w:unhideWhenUsed/>
    <w:rsid w:val="004E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FC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FC9"/>
    <w:rPr>
      <w:b/>
      <w:bCs/>
      <w:lang w:val="hr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FC9"/>
    <w:rPr>
      <w:b/>
      <w:bCs/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6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866"/>
  </w:style>
  <w:style w:type="paragraph" w:styleId="Footer">
    <w:name w:val="footer"/>
    <w:basedOn w:val="Normal"/>
    <w:link w:val="FooterChar"/>
    <w:uiPriority w:val="99"/>
    <w:unhideWhenUsed/>
    <w:rsid w:val="0056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866"/>
  </w:style>
  <w:style w:type="character" w:styleId="Hyperlink">
    <w:name w:val="Hyperlink"/>
    <w:basedOn w:val="DefaultParagraphFont"/>
    <w:uiPriority w:val="99"/>
    <w:unhideWhenUsed/>
    <w:rsid w:val="0056786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42370"/>
    <w:pPr>
      <w:spacing w:after="0" w:line="240" w:lineRule="auto"/>
    </w:pPr>
  </w:style>
  <w:style w:type="character" w:customStyle="1" w:styleId="fontstyle01">
    <w:name w:val="fontstyle01"/>
    <w:basedOn w:val="DefaultParagraphFont"/>
    <w:rsid w:val="00A2200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0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8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magbicro.hr/financijski-instrumenti/kako-do-zajma/dokumentaci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0198-CC61-4E07-B21A-EA501971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Ličina</dc:creator>
  <cp:keywords/>
  <dc:description/>
  <cp:lastModifiedBy>Ivan Križanović</cp:lastModifiedBy>
  <cp:revision>48</cp:revision>
  <cp:lastPrinted>2021-07-22T16:38:00Z</cp:lastPrinted>
  <dcterms:created xsi:type="dcterms:W3CDTF">2021-07-22T12:56:00Z</dcterms:created>
  <dcterms:modified xsi:type="dcterms:W3CDTF">2025-03-12T09:06:00Z</dcterms:modified>
</cp:coreProperties>
</file>