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2DFFB" w14:textId="6B56C9E5" w:rsidR="00561C57" w:rsidRDefault="00561C57" w:rsidP="00D00F03">
      <w:pPr>
        <w:spacing w:after="0"/>
        <w:jc w:val="both"/>
        <w:rPr>
          <w:b/>
          <w:bCs/>
          <w:sz w:val="28"/>
          <w:szCs w:val="28"/>
        </w:rPr>
      </w:pPr>
      <w:bookmarkStart w:id="0" w:name="_Hlk105764627"/>
      <w:r>
        <w:rPr>
          <w:b/>
          <w:bCs/>
          <w:sz w:val="28"/>
          <w:szCs w:val="28"/>
        </w:rPr>
        <w:t>PRILOG 1</w:t>
      </w:r>
    </w:p>
    <w:p w14:paraId="7D6C2FE6" w14:textId="77BCB82F" w:rsidR="00FB0642" w:rsidRPr="00FB0642" w:rsidRDefault="00FB0642" w:rsidP="00D00F03">
      <w:pPr>
        <w:spacing w:after="0"/>
        <w:jc w:val="both"/>
        <w:rPr>
          <w:b/>
          <w:bCs/>
          <w:sz w:val="28"/>
          <w:szCs w:val="28"/>
        </w:rPr>
      </w:pPr>
      <w:r w:rsidRPr="00FB0642">
        <w:rPr>
          <w:b/>
          <w:bCs/>
          <w:sz w:val="28"/>
          <w:szCs w:val="28"/>
        </w:rPr>
        <w:t>Lista neprihvatljivih</w:t>
      </w:r>
      <w:r>
        <w:rPr>
          <w:b/>
          <w:bCs/>
          <w:sz w:val="28"/>
          <w:szCs w:val="28"/>
        </w:rPr>
        <w:t>/isključenih</w:t>
      </w:r>
      <w:r w:rsidRPr="00FB0642">
        <w:rPr>
          <w:b/>
          <w:bCs/>
          <w:sz w:val="28"/>
          <w:szCs w:val="28"/>
        </w:rPr>
        <w:t xml:space="preserve"> aktivnosti (</w:t>
      </w:r>
      <w:proofErr w:type="spellStart"/>
      <w:r w:rsidRPr="00FB0642">
        <w:rPr>
          <w:b/>
          <w:bCs/>
          <w:sz w:val="28"/>
          <w:szCs w:val="28"/>
        </w:rPr>
        <w:t>Exclusion</w:t>
      </w:r>
      <w:proofErr w:type="spellEnd"/>
      <w:r w:rsidRPr="00FB0642">
        <w:rPr>
          <w:b/>
          <w:bCs/>
          <w:sz w:val="28"/>
          <w:szCs w:val="28"/>
        </w:rPr>
        <w:t xml:space="preserve"> list):</w:t>
      </w:r>
    </w:p>
    <w:p w14:paraId="1B3508B0" w14:textId="0B7A164D" w:rsidR="00FB0642" w:rsidRDefault="00172660" w:rsidP="00D00F03">
      <w:pPr>
        <w:spacing w:after="0"/>
        <w:jc w:val="both"/>
      </w:pPr>
      <w:r>
        <w:t>(</w:t>
      </w:r>
      <w:r w:rsidRPr="00172660">
        <w:rPr>
          <w:rFonts w:ascii="Arial" w:eastAsia="Times New Roman" w:hAnsi="Arial" w:cs="Arial"/>
          <w:i/>
          <w:iCs/>
          <w:color w:val="000000"/>
          <w:sz w:val="20"/>
          <w:szCs w:val="20"/>
          <w:lang w:eastAsia="hr-HR"/>
        </w:rPr>
        <w:t>Projekti koji se nalaze na popisu nisu prihvatljivi za financiranje</w:t>
      </w:r>
      <w:r w:rsidRPr="00172660">
        <w:rPr>
          <w:rFonts w:ascii="Arial" w:eastAsia="Times New Roman" w:hAnsi="Arial" w:cs="Arial"/>
          <w:color w:val="000000"/>
          <w:sz w:val="20"/>
          <w:szCs w:val="20"/>
          <w:lang w:eastAsia="hr-HR"/>
        </w:rPr>
        <w:t>)</w:t>
      </w:r>
    </w:p>
    <w:p w14:paraId="51864636" w14:textId="77777777" w:rsidR="00172660" w:rsidRDefault="00172660" w:rsidP="00D00F03">
      <w:pPr>
        <w:spacing w:after="0"/>
        <w:jc w:val="both"/>
      </w:pPr>
    </w:p>
    <w:tbl>
      <w:tblPr>
        <w:tblW w:w="9067" w:type="dxa"/>
        <w:tblLook w:val="04A0" w:firstRow="1" w:lastRow="0" w:firstColumn="1" w:lastColumn="0" w:noHBand="0" w:noVBand="1"/>
      </w:tblPr>
      <w:tblGrid>
        <w:gridCol w:w="495"/>
        <w:gridCol w:w="8572"/>
      </w:tblGrid>
      <w:tr w:rsidR="00817748" w:rsidRPr="00FB0642" w14:paraId="498C2023" w14:textId="50D7465E" w:rsidTr="00817748">
        <w:trPr>
          <w:trHeight w:val="390"/>
        </w:trPr>
        <w:tc>
          <w:tcPr>
            <w:tcW w:w="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762493D"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1.</w:t>
            </w:r>
          </w:p>
        </w:tc>
        <w:tc>
          <w:tcPr>
            <w:tcW w:w="8572" w:type="dxa"/>
            <w:tcBorders>
              <w:top w:val="single" w:sz="4" w:space="0" w:color="auto"/>
              <w:left w:val="nil"/>
              <w:bottom w:val="single" w:sz="4" w:space="0" w:color="auto"/>
              <w:right w:val="single" w:sz="4" w:space="0" w:color="auto"/>
            </w:tcBorders>
            <w:shd w:val="clear" w:color="auto" w:fill="auto"/>
            <w:hideMark/>
          </w:tcPr>
          <w:p w14:paraId="20A087F2"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kojima se </w:t>
            </w:r>
            <w:r w:rsidRPr="000202DA">
              <w:rPr>
                <w:rFonts w:ascii="Arial" w:eastAsia="Times New Roman" w:hAnsi="Arial" w:cs="Arial"/>
                <w:b/>
                <w:bCs/>
                <w:color w:val="000000"/>
                <w:sz w:val="20"/>
                <w:szCs w:val="20"/>
                <w:lang w:eastAsia="hr-HR"/>
              </w:rPr>
              <w:t>ograničavaju</w:t>
            </w:r>
            <w:r w:rsidRPr="007564DD">
              <w:rPr>
                <w:rFonts w:ascii="Arial" w:eastAsia="Times New Roman" w:hAnsi="Arial" w:cs="Arial"/>
                <w:color w:val="000000"/>
                <w:sz w:val="20"/>
                <w:szCs w:val="20"/>
                <w:lang w:eastAsia="hr-HR"/>
              </w:rPr>
              <w:t xml:space="preserve"> prava i slobode pojedinca ili </w:t>
            </w:r>
            <w:r w:rsidRPr="000202DA">
              <w:rPr>
                <w:rFonts w:ascii="Arial" w:eastAsia="Times New Roman" w:hAnsi="Arial" w:cs="Arial"/>
                <w:b/>
                <w:bCs/>
                <w:color w:val="000000"/>
                <w:sz w:val="20"/>
                <w:szCs w:val="20"/>
                <w:lang w:eastAsia="hr-HR"/>
              </w:rPr>
              <w:t>krše ljudska prava</w:t>
            </w:r>
            <w:r w:rsidRPr="007564DD">
              <w:rPr>
                <w:rFonts w:ascii="Arial" w:eastAsia="Times New Roman" w:hAnsi="Arial" w:cs="Arial"/>
                <w:color w:val="000000"/>
                <w:sz w:val="20"/>
                <w:szCs w:val="20"/>
                <w:lang w:eastAsia="hr-HR"/>
              </w:rPr>
              <w:t>;</w:t>
            </w:r>
          </w:p>
        </w:tc>
      </w:tr>
      <w:tr w:rsidR="00817748" w:rsidRPr="00FB0642" w14:paraId="6D8BC80D" w14:textId="17C46695" w:rsidTr="00817748">
        <w:trPr>
          <w:trHeight w:val="626"/>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FB9B4A9"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2.</w:t>
            </w:r>
          </w:p>
        </w:tc>
        <w:tc>
          <w:tcPr>
            <w:tcW w:w="8572" w:type="dxa"/>
            <w:tcBorders>
              <w:top w:val="nil"/>
              <w:left w:val="nil"/>
              <w:bottom w:val="single" w:sz="4" w:space="0" w:color="auto"/>
              <w:right w:val="single" w:sz="4" w:space="0" w:color="auto"/>
            </w:tcBorders>
            <w:shd w:val="clear" w:color="auto" w:fill="auto"/>
            <w:hideMark/>
          </w:tcPr>
          <w:p w14:paraId="325477FC"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uporaba, razvoj ili proizvodnja proizvoda i tehnologija u području </w:t>
            </w:r>
            <w:r w:rsidRPr="000202DA">
              <w:rPr>
                <w:rFonts w:ascii="Arial" w:eastAsia="Times New Roman" w:hAnsi="Arial" w:cs="Arial"/>
                <w:b/>
                <w:bCs/>
                <w:color w:val="000000"/>
                <w:sz w:val="20"/>
                <w:szCs w:val="20"/>
                <w:lang w:eastAsia="hr-HR"/>
              </w:rPr>
              <w:t>obrambenih aktivnosti</w:t>
            </w:r>
            <w:r w:rsidRPr="007564DD">
              <w:rPr>
                <w:rFonts w:ascii="Arial" w:eastAsia="Times New Roman" w:hAnsi="Arial" w:cs="Arial"/>
                <w:color w:val="000000"/>
                <w:sz w:val="20"/>
                <w:szCs w:val="20"/>
                <w:lang w:eastAsia="hr-HR"/>
              </w:rPr>
              <w:t xml:space="preserve"> koji su zabranjeni primjenjivim međunarodnim pravom;</w:t>
            </w:r>
          </w:p>
        </w:tc>
      </w:tr>
      <w:tr w:rsidR="00817748" w:rsidRPr="00FB0642" w14:paraId="69928154" w14:textId="6CD12853" w:rsidTr="00817748">
        <w:trPr>
          <w:trHeight w:val="490"/>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6867BD5"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3.</w:t>
            </w:r>
          </w:p>
        </w:tc>
        <w:tc>
          <w:tcPr>
            <w:tcW w:w="8572" w:type="dxa"/>
            <w:tcBorders>
              <w:top w:val="nil"/>
              <w:left w:val="nil"/>
              <w:bottom w:val="single" w:sz="4" w:space="0" w:color="auto"/>
              <w:right w:val="single" w:sz="4" w:space="0" w:color="auto"/>
            </w:tcBorders>
            <w:shd w:val="clear" w:color="auto" w:fill="auto"/>
            <w:hideMark/>
          </w:tcPr>
          <w:p w14:paraId="10495D71"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proizvodi ili aktivnosti povezane </w:t>
            </w:r>
            <w:r w:rsidRPr="000202DA">
              <w:rPr>
                <w:rFonts w:ascii="Arial" w:eastAsia="Times New Roman" w:hAnsi="Arial" w:cs="Arial"/>
                <w:b/>
                <w:bCs/>
                <w:color w:val="000000"/>
                <w:sz w:val="20"/>
                <w:szCs w:val="20"/>
                <w:lang w:eastAsia="hr-HR"/>
              </w:rPr>
              <w:t>s duhanom</w:t>
            </w:r>
            <w:r w:rsidRPr="007564DD">
              <w:rPr>
                <w:rFonts w:ascii="Arial" w:eastAsia="Times New Roman" w:hAnsi="Arial" w:cs="Arial"/>
                <w:color w:val="000000"/>
                <w:sz w:val="20"/>
                <w:szCs w:val="20"/>
                <w:lang w:eastAsia="hr-HR"/>
              </w:rPr>
              <w:t xml:space="preserve"> (proizvodnja, distribucija, obrada i trgovina);</w:t>
            </w:r>
          </w:p>
        </w:tc>
      </w:tr>
      <w:tr w:rsidR="00817748" w:rsidRPr="00FB0642" w14:paraId="7E0EF83D" w14:textId="67AB0700" w:rsidTr="00817748">
        <w:trPr>
          <w:trHeight w:val="1338"/>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4786615"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4.</w:t>
            </w:r>
          </w:p>
        </w:tc>
        <w:tc>
          <w:tcPr>
            <w:tcW w:w="8572" w:type="dxa"/>
            <w:tcBorders>
              <w:top w:val="nil"/>
              <w:left w:val="nil"/>
              <w:bottom w:val="single" w:sz="4" w:space="0" w:color="auto"/>
              <w:right w:val="single" w:sz="4" w:space="0" w:color="auto"/>
            </w:tcBorders>
            <w:shd w:val="clear" w:color="auto" w:fill="auto"/>
            <w:hideMark/>
          </w:tcPr>
          <w:p w14:paraId="09F1030E" w14:textId="5135F78D" w:rsidR="00817748" w:rsidRPr="007564DD" w:rsidRDefault="00817748" w:rsidP="00E677B1">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aktivnosti isključene</w:t>
            </w:r>
            <w:r w:rsidR="003414F4">
              <w:rPr>
                <w:rFonts w:ascii="Arial" w:eastAsia="Times New Roman" w:hAnsi="Arial" w:cs="Arial"/>
                <w:color w:val="000000"/>
                <w:sz w:val="20"/>
                <w:szCs w:val="20"/>
                <w:lang w:eastAsia="hr-HR"/>
              </w:rPr>
              <w:t xml:space="preserve"> </w:t>
            </w:r>
            <w:r w:rsidRPr="007564DD">
              <w:rPr>
                <w:rFonts w:ascii="Arial" w:eastAsia="Times New Roman" w:hAnsi="Arial" w:cs="Arial"/>
                <w:color w:val="000000"/>
                <w:sz w:val="20"/>
                <w:szCs w:val="20"/>
                <w:lang w:eastAsia="hr-HR"/>
              </w:rPr>
              <w:t>iz financiranja u skladu s</w:t>
            </w:r>
            <w:r w:rsidR="008414D4" w:rsidRPr="008414D4">
              <w:rPr>
                <w:rFonts w:ascii="Arial" w:eastAsia="Times New Roman" w:hAnsi="Arial" w:cs="Arial"/>
                <w:color w:val="000000"/>
                <w:sz w:val="20"/>
                <w:szCs w:val="20"/>
                <w:lang w:eastAsia="hr-HR"/>
              </w:rPr>
              <w:t xml:space="preserve"> člankom 18. Uredba (EU) 2021/695 Europskog parlamenta i Vijeća od 28. travnja 2021. o uspostavi Okvirnog programa za istraživanja i inovacije </w:t>
            </w:r>
            <w:r w:rsidR="008414D4" w:rsidRPr="000202DA">
              <w:rPr>
                <w:rFonts w:ascii="Arial" w:eastAsia="Times New Roman" w:hAnsi="Arial" w:cs="Arial"/>
                <w:b/>
                <w:bCs/>
                <w:color w:val="000000"/>
                <w:sz w:val="20"/>
                <w:szCs w:val="20"/>
                <w:lang w:eastAsia="hr-HR"/>
              </w:rPr>
              <w:t>Obzor Europa</w:t>
            </w:r>
            <w:r w:rsidR="008414D4" w:rsidRPr="008414D4">
              <w:rPr>
                <w:rFonts w:ascii="Arial" w:eastAsia="Times New Roman" w:hAnsi="Arial" w:cs="Arial"/>
                <w:color w:val="000000"/>
                <w:sz w:val="20"/>
                <w:szCs w:val="20"/>
                <w:lang w:eastAsia="hr-HR"/>
              </w:rPr>
              <w:t>, o utvrđivanju pravila za sudjelovanje i širenje rezultata te o stavljanju izvan snage uredbi (EU) br. 1290/2013 i (EU) br. 1291/2013</w:t>
            </w:r>
            <w:r w:rsidRPr="007564DD">
              <w:rPr>
                <w:rFonts w:ascii="Arial" w:eastAsia="Times New Roman" w:hAnsi="Arial" w:cs="Arial"/>
                <w:color w:val="000000"/>
                <w:sz w:val="20"/>
                <w:szCs w:val="20"/>
                <w:lang w:eastAsia="hr-HR"/>
              </w:rPr>
              <w:t xml:space="preserve"> (istraživanja o kloniranju ljudi u reproduktivne svrhe; aktivnosti kojima se želi izmijeniti genetičko nasljeđe ljudskih bića i u okviru kojih bi takve izmjene mogle postati nasljedne; aktivnosti za stvaranje ljudskih embrija isključivo u svrhu istraživanja ili dobivanja matičnih stanica, među ostalim s pomoću prijenosa jezgre somatskih stanica);</w:t>
            </w:r>
          </w:p>
        </w:tc>
      </w:tr>
      <w:tr w:rsidR="00817748" w:rsidRPr="00FB0642" w14:paraId="4C3C651E" w14:textId="3C6F9C06" w:rsidTr="00817748">
        <w:trPr>
          <w:trHeight w:val="630"/>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F56394B"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5.</w:t>
            </w:r>
          </w:p>
        </w:tc>
        <w:tc>
          <w:tcPr>
            <w:tcW w:w="8572" w:type="dxa"/>
            <w:tcBorders>
              <w:top w:val="nil"/>
              <w:left w:val="nil"/>
              <w:bottom w:val="single" w:sz="4" w:space="0" w:color="auto"/>
              <w:right w:val="single" w:sz="4" w:space="0" w:color="auto"/>
            </w:tcBorders>
            <w:shd w:val="clear" w:color="auto" w:fill="auto"/>
            <w:hideMark/>
          </w:tcPr>
          <w:p w14:paraId="49E0B2E9"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kockanje</w:t>
            </w:r>
            <w:r w:rsidRPr="007564DD">
              <w:rPr>
                <w:rFonts w:ascii="Arial" w:eastAsia="Times New Roman" w:hAnsi="Arial" w:cs="Arial"/>
                <w:color w:val="000000"/>
                <w:sz w:val="20"/>
                <w:szCs w:val="20"/>
                <w:lang w:eastAsia="hr-HR"/>
              </w:rPr>
              <w:t xml:space="preserve"> (aktivnosti koje se odnose na proizvodnju, izgradnju, distribuciju, obradu, trgovinu ili softver);</w:t>
            </w:r>
          </w:p>
        </w:tc>
      </w:tr>
      <w:tr w:rsidR="00817748" w:rsidRPr="00FB0642" w14:paraId="4D9D1AAD" w14:textId="3711F0B9" w:rsidTr="00817748">
        <w:trPr>
          <w:trHeight w:val="412"/>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4000CE2"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6.</w:t>
            </w:r>
          </w:p>
        </w:tc>
        <w:tc>
          <w:tcPr>
            <w:tcW w:w="8572" w:type="dxa"/>
            <w:tcBorders>
              <w:top w:val="nil"/>
              <w:left w:val="nil"/>
              <w:bottom w:val="single" w:sz="4" w:space="0" w:color="auto"/>
              <w:right w:val="single" w:sz="4" w:space="0" w:color="auto"/>
            </w:tcBorders>
            <w:shd w:val="clear" w:color="auto" w:fill="auto"/>
            <w:hideMark/>
          </w:tcPr>
          <w:p w14:paraId="50FB23E6"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prostitucija</w:t>
            </w:r>
            <w:r w:rsidRPr="007564DD">
              <w:rPr>
                <w:rFonts w:ascii="Arial" w:eastAsia="Times New Roman" w:hAnsi="Arial" w:cs="Arial"/>
                <w:color w:val="000000"/>
                <w:sz w:val="20"/>
                <w:szCs w:val="20"/>
                <w:lang w:eastAsia="hr-HR"/>
              </w:rPr>
              <w:t xml:space="preserve"> i povezana infrastruktura, usluge i mediji;</w:t>
            </w:r>
          </w:p>
        </w:tc>
      </w:tr>
      <w:tr w:rsidR="00817748" w:rsidRPr="00FB0642" w14:paraId="54C8BF0C" w14:textId="08036AA2" w:rsidTr="00817748">
        <w:trPr>
          <w:trHeight w:val="865"/>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F153CCF"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7.</w:t>
            </w:r>
          </w:p>
        </w:tc>
        <w:tc>
          <w:tcPr>
            <w:tcW w:w="8572" w:type="dxa"/>
            <w:tcBorders>
              <w:top w:val="nil"/>
              <w:left w:val="nil"/>
              <w:bottom w:val="single" w:sz="4" w:space="0" w:color="auto"/>
              <w:right w:val="single" w:sz="4" w:space="0" w:color="auto"/>
            </w:tcBorders>
            <w:shd w:val="clear" w:color="auto" w:fill="auto"/>
            <w:hideMark/>
          </w:tcPr>
          <w:p w14:paraId="0CCAA280" w14:textId="47285984"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u okviru kojih se </w:t>
            </w:r>
            <w:r w:rsidRPr="000202DA">
              <w:rPr>
                <w:rFonts w:ascii="Arial" w:eastAsia="Times New Roman" w:hAnsi="Arial" w:cs="Arial"/>
                <w:b/>
                <w:bCs/>
                <w:color w:val="000000"/>
                <w:sz w:val="20"/>
                <w:szCs w:val="20"/>
                <w:lang w:eastAsia="hr-HR"/>
              </w:rPr>
              <w:t>žive životinje koriste u pokusne i znanstvene svrhe</w:t>
            </w:r>
            <w:r w:rsidRPr="007564DD">
              <w:rPr>
                <w:rFonts w:ascii="Arial" w:eastAsia="Times New Roman" w:hAnsi="Arial" w:cs="Arial"/>
                <w:color w:val="000000"/>
                <w:sz w:val="20"/>
                <w:szCs w:val="20"/>
                <w:lang w:eastAsia="hr-HR"/>
              </w:rPr>
              <w:t xml:space="preserve"> ako se ne može zajamčiti usklađenost s Konvencijom Vijeća Europe o zaštiti kralježnjaka koji se koriste u pokusne i druge znanstvene svrhe</w:t>
            </w:r>
            <w:r>
              <w:rPr>
                <w:rFonts w:ascii="Arial" w:eastAsia="Times New Roman" w:hAnsi="Arial" w:cs="Arial"/>
                <w:color w:val="000000"/>
                <w:sz w:val="20"/>
                <w:szCs w:val="20"/>
                <w:lang w:eastAsia="hr-HR"/>
              </w:rPr>
              <w:t>;</w:t>
            </w:r>
          </w:p>
        </w:tc>
      </w:tr>
      <w:tr w:rsidR="00817748" w:rsidRPr="00FB0642" w14:paraId="7F3B0FCB" w14:textId="5A2A18F9" w:rsidTr="00817748">
        <w:trPr>
          <w:trHeight w:val="991"/>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4561231"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8.</w:t>
            </w:r>
          </w:p>
        </w:tc>
        <w:tc>
          <w:tcPr>
            <w:tcW w:w="8572" w:type="dxa"/>
            <w:tcBorders>
              <w:top w:val="nil"/>
              <w:left w:val="nil"/>
              <w:bottom w:val="single" w:sz="4" w:space="0" w:color="auto"/>
              <w:right w:val="single" w:sz="4" w:space="0" w:color="auto"/>
            </w:tcBorders>
            <w:shd w:val="clear" w:color="auto" w:fill="auto"/>
            <w:hideMark/>
          </w:tcPr>
          <w:p w14:paraId="7BB5FE81" w14:textId="77777777" w:rsidR="00CA1243" w:rsidRDefault="00C83C51"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aktivnosti razvoja nekretnina</w:t>
            </w:r>
            <w:r w:rsidRPr="00C83C51">
              <w:rPr>
                <w:rFonts w:ascii="Arial" w:eastAsia="Times New Roman" w:hAnsi="Arial" w:cs="Arial"/>
                <w:color w:val="000000"/>
                <w:sz w:val="20"/>
                <w:szCs w:val="20"/>
                <w:lang w:eastAsia="hr-HR"/>
              </w:rPr>
              <w:t xml:space="preserve">, na primjer aktivnosti čija je isključiva svrha preuređenje i ponovno davanje u zakup ili preprodaja postojećih zgrada, kao i izgradnja novih projekata. </w:t>
            </w:r>
          </w:p>
          <w:p w14:paraId="6870D1AE" w14:textId="77777777" w:rsidR="004C30D4" w:rsidRDefault="004C30D4" w:rsidP="004B443F">
            <w:pPr>
              <w:spacing w:after="0" w:line="240" w:lineRule="auto"/>
              <w:jc w:val="both"/>
              <w:rPr>
                <w:rFonts w:ascii="Arial" w:eastAsia="Times New Roman" w:hAnsi="Arial" w:cs="Arial"/>
                <w:color w:val="000000"/>
                <w:sz w:val="20"/>
                <w:szCs w:val="20"/>
                <w:lang w:eastAsia="hr-HR"/>
              </w:rPr>
            </w:pPr>
          </w:p>
          <w:p w14:paraId="44311056" w14:textId="5C489B0B" w:rsidR="00817748" w:rsidRDefault="00C83C51" w:rsidP="004B443F">
            <w:pPr>
              <w:spacing w:after="0" w:line="240" w:lineRule="auto"/>
              <w:jc w:val="both"/>
              <w:rPr>
                <w:rFonts w:ascii="Arial" w:eastAsia="Times New Roman" w:hAnsi="Arial" w:cs="Arial"/>
                <w:color w:val="000000"/>
                <w:sz w:val="20"/>
                <w:szCs w:val="20"/>
                <w:lang w:eastAsia="hr-HR"/>
              </w:rPr>
            </w:pPr>
            <w:r w:rsidRPr="00C83C51">
              <w:rPr>
                <w:rFonts w:ascii="Arial" w:eastAsia="Times New Roman" w:hAnsi="Arial" w:cs="Arial"/>
                <w:color w:val="000000"/>
                <w:sz w:val="20"/>
                <w:szCs w:val="20"/>
                <w:lang w:eastAsia="hr-HR"/>
              </w:rPr>
              <w:t xml:space="preserve">Međutim, prihvatljive su aktivnosti u sektoru nekretnina povezane s posebnim ciljevima programa </w:t>
            </w:r>
            <w:proofErr w:type="spellStart"/>
            <w:r w:rsidRPr="00C83C51">
              <w:rPr>
                <w:rFonts w:ascii="Arial" w:eastAsia="Times New Roman" w:hAnsi="Arial" w:cs="Arial"/>
                <w:color w:val="000000"/>
                <w:sz w:val="20"/>
                <w:szCs w:val="20"/>
                <w:lang w:eastAsia="hr-HR"/>
              </w:rPr>
              <w:t>Invest</w:t>
            </w:r>
            <w:proofErr w:type="spellEnd"/>
            <w:r w:rsidRPr="00C83C51">
              <w:rPr>
                <w:rFonts w:ascii="Arial" w:eastAsia="Times New Roman" w:hAnsi="Arial" w:cs="Arial"/>
                <w:color w:val="000000"/>
                <w:sz w:val="20"/>
                <w:szCs w:val="20"/>
                <w:lang w:eastAsia="hr-HR"/>
              </w:rPr>
              <w:t xml:space="preserve"> EU kako je navedeno u članku 3. stavku 2.</w:t>
            </w:r>
            <w:r w:rsidR="004E2590">
              <w:rPr>
                <w:rFonts w:ascii="Arial" w:eastAsia="Times New Roman" w:hAnsi="Arial" w:cs="Arial"/>
                <w:color w:val="000000"/>
                <w:sz w:val="20"/>
                <w:szCs w:val="20"/>
                <w:lang w:eastAsia="hr-HR"/>
              </w:rPr>
              <w:t xml:space="preserve"> </w:t>
            </w:r>
            <w:r w:rsidRPr="00C83C51">
              <w:rPr>
                <w:rFonts w:ascii="Arial" w:eastAsia="Times New Roman" w:hAnsi="Arial" w:cs="Arial"/>
                <w:color w:val="000000"/>
                <w:sz w:val="20"/>
                <w:szCs w:val="20"/>
                <w:lang w:eastAsia="hr-HR"/>
              </w:rPr>
              <w:t>(</w:t>
            </w:r>
            <w:r w:rsidRPr="000170C5">
              <w:rPr>
                <w:rFonts w:ascii="Arial" w:eastAsia="Times New Roman" w:hAnsi="Arial" w:cs="Arial"/>
                <w:i/>
                <w:iCs/>
                <w:color w:val="000000"/>
                <w:sz w:val="20"/>
                <w:szCs w:val="20"/>
                <w:lang w:eastAsia="hr-HR"/>
              </w:rPr>
              <w:t>povezanim s održivom infrastrukturom, istraživanjem, inovacijama i digitalizacijom, uključujući potporu za unapređenje inovativnih poduzeća i uvođenje tehnologija na tržište, poboljšanje pristupa financiranju i povećanje mogućnosti financiranja za MSP-ove</w:t>
            </w:r>
            <w:r w:rsidRPr="00C83C51">
              <w:rPr>
                <w:rFonts w:ascii="Arial" w:eastAsia="Times New Roman" w:hAnsi="Arial" w:cs="Arial"/>
                <w:color w:val="000000"/>
                <w:sz w:val="20"/>
                <w:szCs w:val="20"/>
                <w:lang w:eastAsia="hr-HR"/>
              </w:rPr>
              <w:t xml:space="preserve">) i s prihvatljivim područjima za operacije financiranja i operacije ulaganja iz Priloga II. </w:t>
            </w:r>
            <w:r w:rsidR="004E2590" w:rsidRPr="004E2590">
              <w:rPr>
                <w:rFonts w:ascii="Arial" w:eastAsia="Times New Roman" w:hAnsi="Arial" w:cs="Arial"/>
                <w:color w:val="000000"/>
                <w:sz w:val="20"/>
                <w:szCs w:val="20"/>
                <w:lang w:eastAsia="hr-HR"/>
              </w:rPr>
              <w:t xml:space="preserve">Uredbe (EU) 2021/523 Europskog parlamenta i Vijeća od 24. ožujka 2021. o uspostavi programa </w:t>
            </w:r>
            <w:proofErr w:type="spellStart"/>
            <w:r w:rsidR="004E2590" w:rsidRPr="004E2590">
              <w:rPr>
                <w:rFonts w:ascii="Arial" w:eastAsia="Times New Roman" w:hAnsi="Arial" w:cs="Arial"/>
                <w:color w:val="000000"/>
                <w:sz w:val="20"/>
                <w:szCs w:val="20"/>
                <w:lang w:eastAsia="hr-HR"/>
              </w:rPr>
              <w:t>InvestEU</w:t>
            </w:r>
            <w:proofErr w:type="spellEnd"/>
            <w:r w:rsidR="004E2590" w:rsidRPr="004E2590">
              <w:rPr>
                <w:rFonts w:ascii="Arial" w:eastAsia="Times New Roman" w:hAnsi="Arial" w:cs="Arial"/>
                <w:color w:val="000000"/>
                <w:sz w:val="20"/>
                <w:szCs w:val="20"/>
                <w:lang w:eastAsia="hr-HR"/>
              </w:rPr>
              <w:t xml:space="preserve"> i izmjeni Uredbe (EU) 2015/1017 (SL L 107, 26.3.2021.)</w:t>
            </w:r>
            <w:r w:rsidRPr="00C83C51">
              <w:rPr>
                <w:rFonts w:ascii="Arial" w:eastAsia="Times New Roman" w:hAnsi="Arial" w:cs="Arial"/>
                <w:color w:val="000000"/>
                <w:sz w:val="20"/>
                <w:szCs w:val="20"/>
                <w:lang w:eastAsia="hr-HR"/>
              </w:rPr>
              <w:t>, poput ulaganja u projekte u području energetske učinkovitosti ili socijalnih stanova koja su prihvatljiva; (</w:t>
            </w:r>
            <w:r w:rsidRPr="007C456F">
              <w:rPr>
                <w:rFonts w:ascii="Arial" w:eastAsia="Times New Roman" w:hAnsi="Arial" w:cs="Arial"/>
                <w:i/>
                <w:iCs/>
                <w:color w:val="000000"/>
                <w:sz w:val="20"/>
                <w:szCs w:val="20"/>
                <w:lang w:eastAsia="hr-HR"/>
              </w:rPr>
              <w:t>ulaganja u projekte u području obnovljive energije, energetske učinkovitosti, projekti obnove poslovnih nekretnina i poslovnih zgrada usmjerenih na uštede energije, te projekti vezani na turizam</w:t>
            </w:r>
            <w:r w:rsidR="00035523">
              <w:rPr>
                <w:rFonts w:ascii="Arial" w:eastAsia="Times New Roman" w:hAnsi="Arial" w:cs="Arial"/>
                <w:i/>
                <w:iCs/>
                <w:color w:val="000000"/>
                <w:sz w:val="20"/>
                <w:szCs w:val="20"/>
                <w:lang w:eastAsia="hr-HR"/>
              </w:rPr>
              <w:t xml:space="preserve"> </w:t>
            </w:r>
            <w:r w:rsidRPr="007C456F">
              <w:rPr>
                <w:rFonts w:ascii="Arial" w:eastAsia="Times New Roman" w:hAnsi="Arial" w:cs="Arial"/>
                <w:i/>
                <w:iCs/>
                <w:color w:val="000000"/>
                <w:sz w:val="20"/>
                <w:szCs w:val="20"/>
                <w:lang w:eastAsia="hr-HR"/>
              </w:rPr>
              <w:t>ili socijalnih stanova nisu isključena</w:t>
            </w:r>
            <w:r w:rsidRPr="00C83C51">
              <w:rPr>
                <w:rFonts w:ascii="Arial" w:eastAsia="Times New Roman" w:hAnsi="Arial" w:cs="Arial"/>
                <w:color w:val="000000"/>
                <w:sz w:val="20"/>
                <w:szCs w:val="20"/>
                <w:lang w:eastAsia="hr-HR"/>
              </w:rPr>
              <w:t>);</w:t>
            </w:r>
          </w:p>
          <w:p w14:paraId="44075F37" w14:textId="77777777" w:rsidR="00CA1243" w:rsidRDefault="00CA1243" w:rsidP="004B443F">
            <w:pPr>
              <w:spacing w:after="0" w:line="240" w:lineRule="auto"/>
              <w:jc w:val="both"/>
              <w:rPr>
                <w:rFonts w:ascii="Arial" w:eastAsia="Times New Roman" w:hAnsi="Arial" w:cs="Arial"/>
                <w:color w:val="000000"/>
                <w:sz w:val="20"/>
                <w:szCs w:val="20"/>
                <w:lang w:eastAsia="hr-HR"/>
              </w:rPr>
            </w:pPr>
          </w:p>
          <w:p w14:paraId="6504ABAE" w14:textId="5E0014F6" w:rsidR="00C83C51" w:rsidRPr="007564DD" w:rsidRDefault="00C83C51" w:rsidP="004B443F">
            <w:pPr>
              <w:spacing w:after="0" w:line="240" w:lineRule="auto"/>
              <w:jc w:val="both"/>
              <w:rPr>
                <w:rFonts w:ascii="Arial" w:eastAsia="Times New Roman" w:hAnsi="Arial" w:cs="Arial"/>
                <w:color w:val="000000"/>
                <w:sz w:val="20"/>
                <w:szCs w:val="20"/>
                <w:lang w:eastAsia="hr-HR"/>
              </w:rPr>
            </w:pPr>
          </w:p>
        </w:tc>
      </w:tr>
      <w:tr w:rsidR="00817748" w:rsidRPr="00FB0642" w14:paraId="235D49FF" w14:textId="351BB1BD" w:rsidTr="00817748">
        <w:trPr>
          <w:trHeight w:val="835"/>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7D9D9EE"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9.</w:t>
            </w:r>
          </w:p>
        </w:tc>
        <w:tc>
          <w:tcPr>
            <w:tcW w:w="8572" w:type="dxa"/>
            <w:tcBorders>
              <w:top w:val="nil"/>
              <w:left w:val="nil"/>
              <w:bottom w:val="single" w:sz="4" w:space="0" w:color="auto"/>
              <w:right w:val="single" w:sz="4" w:space="0" w:color="auto"/>
            </w:tcBorders>
            <w:shd w:val="clear" w:color="auto" w:fill="auto"/>
            <w:hideMark/>
          </w:tcPr>
          <w:p w14:paraId="1B8A4A9E"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financijske aktivnosti poput </w:t>
            </w:r>
            <w:r w:rsidRPr="000202DA">
              <w:rPr>
                <w:rFonts w:ascii="Arial" w:eastAsia="Times New Roman" w:hAnsi="Arial" w:cs="Arial"/>
                <w:b/>
                <w:bCs/>
                <w:color w:val="000000"/>
                <w:sz w:val="20"/>
                <w:szCs w:val="20"/>
                <w:lang w:eastAsia="hr-HR"/>
              </w:rPr>
              <w:t>kupovine financijskih instrumenata ili trgovanja</w:t>
            </w:r>
            <w:r w:rsidRPr="007564DD">
              <w:rPr>
                <w:rFonts w:ascii="Arial" w:eastAsia="Times New Roman" w:hAnsi="Arial" w:cs="Arial"/>
                <w:color w:val="000000"/>
                <w:sz w:val="20"/>
                <w:szCs w:val="20"/>
                <w:lang w:eastAsia="hr-HR"/>
              </w:rPr>
              <w:t xml:space="preserve"> tim instrumentima. Posebno se isključuju intervencije usmjerene na otkup u svrhu razdvajanja imovine ili zamjenski kapital namijenjen razdvajanju imovine;</w:t>
            </w:r>
          </w:p>
        </w:tc>
      </w:tr>
      <w:tr w:rsidR="00817748" w:rsidRPr="00FB0642" w14:paraId="3B304D3D" w14:textId="4933133B" w:rsidTr="00817748">
        <w:trPr>
          <w:trHeight w:val="400"/>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CEC70C3"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10.</w:t>
            </w:r>
          </w:p>
        </w:tc>
        <w:tc>
          <w:tcPr>
            <w:tcW w:w="8572" w:type="dxa"/>
            <w:tcBorders>
              <w:top w:val="nil"/>
              <w:left w:val="nil"/>
              <w:bottom w:val="single" w:sz="4" w:space="0" w:color="auto"/>
              <w:right w:val="single" w:sz="4" w:space="0" w:color="auto"/>
            </w:tcBorders>
            <w:shd w:val="clear" w:color="auto" w:fill="auto"/>
            <w:hideMark/>
          </w:tcPr>
          <w:p w14:paraId="25AEBA5D"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zabranjene primjenjivim </w:t>
            </w:r>
            <w:r w:rsidRPr="000202DA">
              <w:rPr>
                <w:rFonts w:ascii="Arial" w:eastAsia="Times New Roman" w:hAnsi="Arial" w:cs="Arial"/>
                <w:b/>
                <w:bCs/>
                <w:color w:val="000000"/>
                <w:sz w:val="20"/>
                <w:szCs w:val="20"/>
                <w:lang w:eastAsia="hr-HR"/>
              </w:rPr>
              <w:t>nacionalnim zakonodavstvom</w:t>
            </w:r>
            <w:r w:rsidRPr="007564DD">
              <w:rPr>
                <w:rFonts w:ascii="Arial" w:eastAsia="Times New Roman" w:hAnsi="Arial" w:cs="Arial"/>
                <w:color w:val="000000"/>
                <w:sz w:val="20"/>
                <w:szCs w:val="20"/>
                <w:lang w:eastAsia="hr-HR"/>
              </w:rPr>
              <w:t>;</w:t>
            </w:r>
          </w:p>
        </w:tc>
      </w:tr>
      <w:tr w:rsidR="00817748" w:rsidRPr="00FB0642" w14:paraId="5157DECB" w14:textId="078A6526" w:rsidTr="00F43014">
        <w:trPr>
          <w:trHeight w:val="405"/>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70FF3A1"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11.</w:t>
            </w:r>
          </w:p>
        </w:tc>
        <w:tc>
          <w:tcPr>
            <w:tcW w:w="8572" w:type="dxa"/>
            <w:tcBorders>
              <w:top w:val="nil"/>
              <w:left w:val="nil"/>
              <w:bottom w:val="single" w:sz="4" w:space="0" w:color="auto"/>
              <w:right w:val="single" w:sz="4" w:space="0" w:color="auto"/>
            </w:tcBorders>
            <w:shd w:val="clear" w:color="auto" w:fill="auto"/>
            <w:hideMark/>
          </w:tcPr>
          <w:p w14:paraId="4A02327E"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razgradnja, rad, prilagodba ili izgradnja </w:t>
            </w:r>
            <w:r w:rsidRPr="000202DA">
              <w:rPr>
                <w:rFonts w:ascii="Arial" w:eastAsia="Times New Roman" w:hAnsi="Arial" w:cs="Arial"/>
                <w:b/>
                <w:bCs/>
                <w:color w:val="000000"/>
                <w:sz w:val="20"/>
                <w:szCs w:val="20"/>
                <w:lang w:eastAsia="hr-HR"/>
              </w:rPr>
              <w:t>nuklearnih elektrana</w:t>
            </w:r>
            <w:r w:rsidRPr="007564DD">
              <w:rPr>
                <w:rFonts w:ascii="Arial" w:eastAsia="Times New Roman" w:hAnsi="Arial" w:cs="Arial"/>
                <w:color w:val="000000"/>
                <w:sz w:val="20"/>
                <w:szCs w:val="20"/>
                <w:lang w:eastAsia="hr-HR"/>
              </w:rPr>
              <w:t>;</w:t>
            </w:r>
          </w:p>
        </w:tc>
      </w:tr>
      <w:tr w:rsidR="00817748" w:rsidRPr="00FB0642" w14:paraId="088DDD38" w14:textId="1F1B588A" w:rsidTr="00F43014">
        <w:trPr>
          <w:trHeight w:val="1418"/>
        </w:trPr>
        <w:tc>
          <w:tcPr>
            <w:tcW w:w="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30AF57A"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12.</w:t>
            </w:r>
          </w:p>
        </w:tc>
        <w:tc>
          <w:tcPr>
            <w:tcW w:w="8572" w:type="dxa"/>
            <w:tcBorders>
              <w:top w:val="single" w:sz="4" w:space="0" w:color="auto"/>
              <w:left w:val="nil"/>
              <w:bottom w:val="single" w:sz="4" w:space="0" w:color="auto"/>
              <w:right w:val="single" w:sz="4" w:space="0" w:color="auto"/>
            </w:tcBorders>
            <w:shd w:val="clear" w:color="auto" w:fill="auto"/>
            <w:hideMark/>
          </w:tcPr>
          <w:p w14:paraId="46781A18" w14:textId="6AE0E46D" w:rsidR="00817748" w:rsidRPr="007564DD" w:rsidRDefault="00817748" w:rsidP="004B443F">
            <w:pPr>
              <w:spacing w:after="24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i imovina koje se odnose na </w:t>
            </w:r>
            <w:r w:rsidRPr="007564DD">
              <w:rPr>
                <w:rFonts w:ascii="Arial" w:eastAsia="Times New Roman" w:hAnsi="Arial" w:cs="Arial"/>
                <w:b/>
                <w:bCs/>
                <w:color w:val="000000"/>
                <w:sz w:val="20"/>
                <w:szCs w:val="20"/>
                <w:lang w:eastAsia="hr-HR"/>
              </w:rPr>
              <w:t>fosilna goriva,</w:t>
            </w:r>
            <w:r w:rsidRPr="007564DD">
              <w:rPr>
                <w:rFonts w:ascii="Arial" w:eastAsia="Times New Roman" w:hAnsi="Arial" w:cs="Arial"/>
                <w:color w:val="000000"/>
                <w:sz w:val="20"/>
                <w:szCs w:val="20"/>
                <w:lang w:eastAsia="hr-HR"/>
              </w:rPr>
              <w:t xml:space="preserve"> uključujući daljnju upotrebu</w:t>
            </w:r>
            <w:r>
              <w:rPr>
                <w:rFonts w:ascii="Arial" w:eastAsia="Times New Roman" w:hAnsi="Arial" w:cs="Arial"/>
                <w:color w:val="000000"/>
                <w:sz w:val="20"/>
                <w:szCs w:val="20"/>
                <w:lang w:eastAsia="hr-HR"/>
              </w:rPr>
              <w:t>;</w:t>
            </w:r>
            <w:r w:rsidRPr="007564DD">
              <w:rPr>
                <w:rFonts w:ascii="Arial" w:eastAsia="Times New Roman" w:hAnsi="Arial" w:cs="Arial"/>
                <w:color w:val="000000"/>
                <w:sz w:val="20"/>
                <w:szCs w:val="20"/>
                <w:lang w:eastAsia="hr-HR"/>
              </w:rPr>
              <w:br/>
            </w:r>
            <w:r w:rsidRPr="007564DD">
              <w:rPr>
                <w:rFonts w:ascii="Arial" w:eastAsia="Times New Roman" w:hAnsi="Arial" w:cs="Arial"/>
                <w:color w:val="000000"/>
                <w:sz w:val="20"/>
                <w:szCs w:val="20"/>
                <w:lang w:eastAsia="hr-HR"/>
              </w:rPr>
              <w:br/>
            </w:r>
            <w:r>
              <w:rPr>
                <w:rFonts w:ascii="Arial" w:eastAsia="Times New Roman" w:hAnsi="Arial" w:cs="Arial"/>
                <w:i/>
                <w:iCs/>
                <w:color w:val="000000"/>
                <w:sz w:val="20"/>
                <w:szCs w:val="20"/>
                <w:lang w:eastAsia="hr-HR"/>
              </w:rPr>
              <w:t>*</w:t>
            </w:r>
            <w:r w:rsidRPr="007564DD">
              <w:rPr>
                <w:rFonts w:ascii="Arial" w:eastAsia="Times New Roman" w:hAnsi="Arial" w:cs="Arial"/>
                <w:i/>
                <w:iCs/>
                <w:color w:val="000000"/>
                <w:sz w:val="20"/>
                <w:szCs w:val="20"/>
                <w:lang w:eastAsia="hr-HR"/>
              </w:rPr>
              <w:t>osim projekata u području proizvodnje električne energije i/ili topline te s tim povezane infrastrukture za prijenos i distribuciju, u kojima se upotrebljava prirodni plin, koji su u</w:t>
            </w:r>
            <w:r>
              <w:rPr>
                <w:rFonts w:ascii="Arial" w:eastAsia="Times New Roman" w:hAnsi="Arial" w:cs="Arial"/>
                <w:i/>
                <w:iCs/>
                <w:color w:val="000000"/>
                <w:sz w:val="20"/>
                <w:szCs w:val="20"/>
                <w:lang w:eastAsia="hr-HR"/>
              </w:rPr>
              <w:t xml:space="preserve"> </w:t>
            </w:r>
            <w:r w:rsidRPr="007564DD">
              <w:rPr>
                <w:rFonts w:ascii="Arial" w:eastAsia="Times New Roman" w:hAnsi="Arial" w:cs="Arial"/>
                <w:i/>
                <w:iCs/>
                <w:color w:val="000000"/>
                <w:sz w:val="20"/>
                <w:szCs w:val="20"/>
                <w:lang w:eastAsia="hr-HR"/>
              </w:rPr>
              <w:t>skladu s uvjetima iz Priloga III. Tehničkim smjernicama za primjenu načela nenanošenja bitne štete 2021/C58/01</w:t>
            </w:r>
            <w:r w:rsidR="002247B0">
              <w:rPr>
                <w:rFonts w:ascii="Arial" w:eastAsia="Times New Roman" w:hAnsi="Arial" w:cs="Arial"/>
                <w:i/>
                <w:iCs/>
                <w:color w:val="000000"/>
                <w:sz w:val="20"/>
                <w:szCs w:val="20"/>
                <w:lang w:eastAsia="hr-HR"/>
              </w:rPr>
              <w:t>.</w:t>
            </w:r>
          </w:p>
        </w:tc>
      </w:tr>
      <w:tr w:rsidR="00817748" w:rsidRPr="00FB0642" w14:paraId="2E28B686" w14:textId="2E9C0D09" w:rsidTr="00F43014">
        <w:trPr>
          <w:trHeight w:val="149"/>
        </w:trPr>
        <w:tc>
          <w:tcPr>
            <w:tcW w:w="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56C604C"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lastRenderedPageBreak/>
              <w:t>13.</w:t>
            </w:r>
          </w:p>
        </w:tc>
        <w:tc>
          <w:tcPr>
            <w:tcW w:w="8572" w:type="dxa"/>
            <w:tcBorders>
              <w:top w:val="single" w:sz="4" w:space="0" w:color="auto"/>
              <w:left w:val="nil"/>
              <w:bottom w:val="single" w:sz="4" w:space="0" w:color="auto"/>
              <w:right w:val="single" w:sz="4" w:space="0" w:color="auto"/>
            </w:tcBorders>
            <w:shd w:val="clear" w:color="auto" w:fill="auto"/>
            <w:hideMark/>
          </w:tcPr>
          <w:p w14:paraId="69B70ADD" w14:textId="2E330B71" w:rsidR="00817748" w:rsidRPr="007564DD" w:rsidRDefault="00817748" w:rsidP="001571B5">
            <w:pPr>
              <w:spacing w:after="24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aktivnosti i imovina u okviru EU-ova</w:t>
            </w:r>
            <w:r w:rsidRPr="007564DD">
              <w:rPr>
                <w:rFonts w:ascii="Arial" w:eastAsia="Times New Roman" w:hAnsi="Arial" w:cs="Arial"/>
                <w:b/>
                <w:bCs/>
                <w:color w:val="000000"/>
                <w:sz w:val="20"/>
                <w:szCs w:val="20"/>
                <w:lang w:eastAsia="hr-HR"/>
              </w:rPr>
              <w:t xml:space="preserve"> sustava za trgovanje emisijama (ETS) </w:t>
            </w:r>
            <w:r w:rsidRPr="007564DD">
              <w:rPr>
                <w:rFonts w:ascii="Arial" w:eastAsia="Times New Roman" w:hAnsi="Arial" w:cs="Arial"/>
                <w:color w:val="000000"/>
                <w:sz w:val="20"/>
                <w:szCs w:val="20"/>
                <w:lang w:eastAsia="hr-HR"/>
              </w:rPr>
              <w:t>kojima se postižu predviđene emisije stakleničkih plinova koje nisu niže od relevantnih referentnih</w:t>
            </w:r>
            <w:r>
              <w:rPr>
                <w:rFonts w:ascii="Arial" w:eastAsia="Times New Roman" w:hAnsi="Arial" w:cs="Arial"/>
                <w:color w:val="000000"/>
                <w:sz w:val="20"/>
                <w:szCs w:val="20"/>
                <w:lang w:eastAsia="hr-HR"/>
              </w:rPr>
              <w:t xml:space="preserve"> </w:t>
            </w:r>
            <w:r w:rsidRPr="007564DD">
              <w:rPr>
                <w:rFonts w:ascii="Arial" w:eastAsia="Times New Roman" w:hAnsi="Arial" w:cs="Arial"/>
                <w:color w:val="000000"/>
                <w:sz w:val="20"/>
                <w:szCs w:val="20"/>
                <w:lang w:eastAsia="hr-HR"/>
              </w:rPr>
              <w:t>vrijednosti</w:t>
            </w:r>
            <w:r>
              <w:rPr>
                <w:rFonts w:ascii="Arial" w:eastAsia="Times New Roman" w:hAnsi="Arial" w:cs="Arial"/>
                <w:color w:val="000000"/>
                <w:sz w:val="20"/>
                <w:szCs w:val="20"/>
                <w:lang w:eastAsia="hr-HR"/>
              </w:rPr>
              <w:t xml:space="preserve">; </w:t>
            </w:r>
            <w:r w:rsidRPr="007564DD">
              <w:rPr>
                <w:rFonts w:ascii="Arial" w:eastAsia="Times New Roman" w:hAnsi="Arial" w:cs="Arial"/>
                <w:color w:val="000000"/>
                <w:sz w:val="20"/>
                <w:szCs w:val="20"/>
                <w:lang w:eastAsia="hr-HR"/>
              </w:rPr>
              <w:t xml:space="preserve">   </w:t>
            </w:r>
            <w:r w:rsidRPr="007564DD">
              <w:rPr>
                <w:rFonts w:ascii="Arial" w:eastAsia="Times New Roman" w:hAnsi="Arial" w:cs="Arial"/>
                <w:color w:val="000000"/>
                <w:sz w:val="20"/>
                <w:szCs w:val="20"/>
                <w:lang w:eastAsia="hr-HR"/>
              </w:rPr>
              <w:br/>
            </w:r>
            <w:r w:rsidRPr="007564DD">
              <w:rPr>
                <w:rFonts w:ascii="Arial" w:eastAsia="Times New Roman" w:hAnsi="Arial" w:cs="Arial"/>
                <w:color w:val="000000"/>
                <w:sz w:val="20"/>
                <w:szCs w:val="20"/>
                <w:lang w:eastAsia="hr-HR"/>
              </w:rPr>
              <w:br/>
            </w:r>
            <w:r>
              <w:rPr>
                <w:rFonts w:ascii="Arial" w:eastAsia="Times New Roman" w:hAnsi="Arial" w:cs="Arial"/>
                <w:color w:val="000000"/>
                <w:sz w:val="20"/>
                <w:szCs w:val="20"/>
                <w:lang w:eastAsia="hr-HR"/>
              </w:rPr>
              <w:t>*</w:t>
            </w:r>
            <w:r w:rsidRPr="007564DD">
              <w:rPr>
                <w:rFonts w:ascii="Arial" w:eastAsia="Times New Roman" w:hAnsi="Arial" w:cs="Arial"/>
                <w:i/>
                <w:iCs/>
                <w:color w:val="000000"/>
                <w:sz w:val="20"/>
                <w:szCs w:val="20"/>
                <w:lang w:eastAsia="hr-HR"/>
              </w:rPr>
              <w:t>ako se aktivnošću koja podupire postižu predviđene emisije stakleničkih plinova koje nisu znatno niže od relevantnih referentnih vrijednosti, potrebno je objasniti razloge zašto to nije moguće. Referentne vrijednosti za dodjelu besplatnih emisijskih jedinica za djelatnosti</w:t>
            </w:r>
            <w:r>
              <w:rPr>
                <w:rFonts w:ascii="Arial" w:eastAsia="Times New Roman" w:hAnsi="Arial" w:cs="Arial"/>
                <w:i/>
                <w:iCs/>
                <w:color w:val="000000"/>
                <w:sz w:val="20"/>
                <w:szCs w:val="20"/>
                <w:lang w:eastAsia="hr-HR"/>
              </w:rPr>
              <w:t xml:space="preserve"> </w:t>
            </w:r>
            <w:r w:rsidRPr="007564DD">
              <w:rPr>
                <w:rFonts w:ascii="Arial" w:eastAsia="Times New Roman" w:hAnsi="Arial" w:cs="Arial"/>
                <w:i/>
                <w:iCs/>
                <w:color w:val="000000"/>
                <w:sz w:val="20"/>
                <w:szCs w:val="20"/>
                <w:lang w:eastAsia="hr-HR"/>
              </w:rPr>
              <w:t>obuhvaćene područjem primjene sustava za trgovanje emisijama utvrđene su u Provedbenoj uredbi Komisije (EU) 2021/447</w:t>
            </w:r>
            <w:r w:rsidR="00E670B5">
              <w:t xml:space="preserve"> </w:t>
            </w:r>
            <w:proofErr w:type="spellStart"/>
            <w:r w:rsidR="00E670B5" w:rsidRPr="00E670B5">
              <w:rPr>
                <w:rFonts w:ascii="Arial" w:eastAsia="Times New Roman" w:hAnsi="Arial" w:cs="Arial"/>
                <w:i/>
                <w:iCs/>
                <w:color w:val="000000"/>
                <w:sz w:val="20"/>
                <w:szCs w:val="20"/>
                <w:lang w:eastAsia="hr-HR"/>
              </w:rPr>
              <w:t>оd</w:t>
            </w:r>
            <w:proofErr w:type="spellEnd"/>
            <w:r w:rsidR="00E670B5" w:rsidRPr="00E670B5">
              <w:rPr>
                <w:rFonts w:ascii="Arial" w:eastAsia="Times New Roman" w:hAnsi="Arial" w:cs="Arial"/>
                <w:i/>
                <w:iCs/>
                <w:color w:val="000000"/>
                <w:sz w:val="20"/>
                <w:szCs w:val="20"/>
                <w:lang w:eastAsia="hr-HR"/>
              </w:rPr>
              <w:t xml:space="preserve"> 12. ožujka 2021. o utvrđivanju revidiranih referentnih vrijednosti za besplatnu dodjelu emisijskih jedinica za razdoblje od 2021. do 2025. na temelju članka 10.a stavka 2. Direktive 2003/87/EZ Europskog parlamenta i Vijeća (Tekst značajan za EGP) (SL L 87, 15.3.2021.)</w:t>
            </w:r>
            <w:r w:rsidR="00D30E69">
              <w:rPr>
                <w:rFonts w:ascii="Arial" w:eastAsia="Times New Roman" w:hAnsi="Arial" w:cs="Arial"/>
                <w:i/>
                <w:iCs/>
                <w:color w:val="000000"/>
                <w:sz w:val="20"/>
                <w:szCs w:val="20"/>
                <w:lang w:eastAsia="hr-HR"/>
              </w:rPr>
              <w:t>.</w:t>
            </w:r>
          </w:p>
        </w:tc>
      </w:tr>
      <w:tr w:rsidR="00817748" w:rsidRPr="00FB0642" w14:paraId="5FBBFB12" w14:textId="0A4CD278" w:rsidTr="00954238">
        <w:trPr>
          <w:trHeight w:val="3693"/>
        </w:trPr>
        <w:tc>
          <w:tcPr>
            <w:tcW w:w="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AEEFE48" w14:textId="77777777" w:rsidR="00817748" w:rsidRPr="007564DD" w:rsidRDefault="00817748" w:rsidP="00FB0642">
            <w:pPr>
              <w:spacing w:after="0" w:line="240" w:lineRule="auto"/>
              <w:rPr>
                <w:rFonts w:ascii="Arial" w:eastAsia="Times New Roman" w:hAnsi="Arial" w:cs="Arial"/>
                <w:b/>
                <w:bCs/>
                <w:color w:val="000000"/>
                <w:sz w:val="20"/>
                <w:szCs w:val="20"/>
                <w:lang w:eastAsia="hr-HR"/>
              </w:rPr>
            </w:pPr>
            <w:r w:rsidRPr="007564DD">
              <w:rPr>
                <w:rFonts w:ascii="Arial" w:eastAsia="Times New Roman" w:hAnsi="Arial" w:cs="Arial"/>
                <w:b/>
                <w:bCs/>
                <w:color w:val="000000"/>
                <w:sz w:val="20"/>
                <w:szCs w:val="20"/>
                <w:lang w:eastAsia="hr-HR"/>
              </w:rPr>
              <w:t>14.</w:t>
            </w:r>
          </w:p>
        </w:tc>
        <w:tc>
          <w:tcPr>
            <w:tcW w:w="8572" w:type="dxa"/>
            <w:tcBorders>
              <w:top w:val="single" w:sz="4" w:space="0" w:color="auto"/>
              <w:left w:val="nil"/>
              <w:bottom w:val="single" w:sz="4" w:space="0" w:color="auto"/>
              <w:right w:val="single" w:sz="4" w:space="0" w:color="auto"/>
            </w:tcBorders>
            <w:shd w:val="clear" w:color="auto" w:fill="auto"/>
            <w:hideMark/>
          </w:tcPr>
          <w:p w14:paraId="5392BF61" w14:textId="77777777" w:rsidR="00011398" w:rsidRDefault="00817748" w:rsidP="00011398">
            <w:pPr>
              <w:spacing w:after="0" w:line="240" w:lineRule="auto"/>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i imovina povezane s </w:t>
            </w:r>
            <w:r w:rsidRPr="007564DD">
              <w:rPr>
                <w:rFonts w:ascii="Arial" w:eastAsia="Times New Roman" w:hAnsi="Arial" w:cs="Arial"/>
                <w:b/>
                <w:bCs/>
                <w:color w:val="000000"/>
                <w:sz w:val="20"/>
                <w:szCs w:val="20"/>
                <w:lang w:eastAsia="hr-HR"/>
              </w:rPr>
              <w:t>odlaganjem otpada na odlagališta otpada, spalionice* i postrojenja za mehaničku biološku obradu**</w:t>
            </w:r>
            <w:r>
              <w:rPr>
                <w:rFonts w:ascii="Arial" w:eastAsia="Times New Roman" w:hAnsi="Arial" w:cs="Arial"/>
                <w:b/>
                <w:bCs/>
                <w:color w:val="000000"/>
                <w:sz w:val="20"/>
                <w:szCs w:val="20"/>
                <w:lang w:eastAsia="hr-HR"/>
              </w:rPr>
              <w:t>;</w:t>
            </w:r>
            <w:r w:rsidRPr="007564DD">
              <w:rPr>
                <w:rFonts w:ascii="Arial" w:eastAsia="Times New Roman" w:hAnsi="Arial" w:cs="Arial"/>
                <w:color w:val="000000"/>
                <w:sz w:val="20"/>
                <w:szCs w:val="20"/>
                <w:lang w:eastAsia="hr-HR"/>
              </w:rPr>
              <w:t xml:space="preserve"> </w:t>
            </w:r>
          </w:p>
          <w:p w14:paraId="76F49A9F" w14:textId="05639729" w:rsidR="00954238" w:rsidRPr="0015484C" w:rsidRDefault="00817748" w:rsidP="00011398">
            <w:pPr>
              <w:spacing w:after="0" w:line="240" w:lineRule="auto"/>
              <w:jc w:val="both"/>
              <w:rPr>
                <w:rFonts w:ascii="Arial" w:eastAsia="Times New Roman" w:hAnsi="Arial" w:cs="Arial"/>
                <w:i/>
                <w:iCs/>
                <w:color w:val="000000"/>
                <w:sz w:val="20"/>
                <w:szCs w:val="20"/>
                <w:lang w:eastAsia="hr-HR"/>
              </w:rPr>
            </w:pPr>
            <w:r w:rsidRPr="007564DD">
              <w:rPr>
                <w:rFonts w:ascii="Arial" w:eastAsia="Times New Roman" w:hAnsi="Arial" w:cs="Arial"/>
                <w:color w:val="000000"/>
                <w:sz w:val="20"/>
                <w:szCs w:val="20"/>
                <w:lang w:eastAsia="hr-HR"/>
              </w:rPr>
              <w:br/>
            </w:r>
            <w:r w:rsidRPr="007564DD">
              <w:rPr>
                <w:rFonts w:ascii="Arial" w:eastAsia="Times New Roman" w:hAnsi="Arial" w:cs="Arial"/>
                <w:color w:val="000000"/>
                <w:sz w:val="20"/>
                <w:szCs w:val="20"/>
                <w:lang w:eastAsia="hr-HR"/>
              </w:rPr>
              <w:br/>
            </w:r>
            <w:r w:rsidRPr="007564DD">
              <w:rPr>
                <w:rFonts w:ascii="Arial" w:eastAsia="Times New Roman" w:hAnsi="Arial" w:cs="Arial"/>
                <w:b/>
                <w:bCs/>
                <w:i/>
                <w:iCs/>
                <w:color w:val="000000"/>
                <w:sz w:val="20"/>
                <w:szCs w:val="20"/>
                <w:lang w:eastAsia="hr-HR"/>
              </w:rPr>
              <w:t>*</w:t>
            </w:r>
            <w:r w:rsidRPr="007564DD">
              <w:rPr>
                <w:rFonts w:ascii="Arial" w:eastAsia="Times New Roman" w:hAnsi="Arial" w:cs="Arial"/>
                <w:i/>
                <w:iCs/>
                <w:color w:val="000000"/>
                <w:sz w:val="20"/>
                <w:szCs w:val="20"/>
                <w:lang w:eastAsia="hr-HR"/>
              </w:rPr>
              <w:t xml:space="preserve">izuzeće se ne primjenjuje na djelovanja u postrojenjima koja su isključivo namijenjena obradi </w:t>
            </w:r>
            <w:proofErr w:type="spellStart"/>
            <w:r w:rsidRPr="007564DD">
              <w:rPr>
                <w:rFonts w:ascii="Arial" w:eastAsia="Times New Roman" w:hAnsi="Arial" w:cs="Arial"/>
                <w:i/>
                <w:iCs/>
                <w:color w:val="000000"/>
                <w:sz w:val="20"/>
                <w:szCs w:val="20"/>
                <w:lang w:eastAsia="hr-HR"/>
              </w:rPr>
              <w:t>nereciklabilnog</w:t>
            </w:r>
            <w:proofErr w:type="spellEnd"/>
            <w:r w:rsidRPr="007564DD">
              <w:rPr>
                <w:rFonts w:ascii="Arial" w:eastAsia="Times New Roman" w:hAnsi="Arial" w:cs="Arial"/>
                <w:i/>
                <w:iCs/>
                <w:color w:val="000000"/>
                <w:sz w:val="20"/>
                <w:szCs w:val="20"/>
                <w:lang w:eastAsia="hr-HR"/>
              </w:rPr>
              <w:t xml:space="preserve"> opasnog otpada ni na postojeća postrojenja, u kojima su djelovanja u okviru ove mjere namijenjena povećanju energetske učinkovitosti, hvatanju ispušnih plinova radi</w:t>
            </w:r>
            <w:r>
              <w:rPr>
                <w:rFonts w:ascii="Arial" w:eastAsia="Times New Roman" w:hAnsi="Arial" w:cs="Arial"/>
                <w:i/>
                <w:iCs/>
                <w:color w:val="000000"/>
                <w:sz w:val="20"/>
                <w:szCs w:val="20"/>
                <w:lang w:eastAsia="hr-HR"/>
              </w:rPr>
              <w:t xml:space="preserve"> </w:t>
            </w:r>
            <w:r w:rsidRPr="007564DD">
              <w:rPr>
                <w:rFonts w:ascii="Arial" w:eastAsia="Times New Roman" w:hAnsi="Arial" w:cs="Arial"/>
                <w:i/>
                <w:iCs/>
                <w:color w:val="000000"/>
                <w:sz w:val="20"/>
                <w:szCs w:val="20"/>
                <w:lang w:eastAsia="hr-HR"/>
              </w:rPr>
              <w:t>skladištenja ili uporabu ili oporabu materijala iz pepela za spaljivanje, pod uvjetom da takva djelovanja u okviru ove mjere ne dovode do povećanja kapaciteta postrojenja za obradu otpada ili produljenja životnog vijeka postrojenja</w:t>
            </w:r>
            <w:r w:rsidR="0015484C">
              <w:rPr>
                <w:rFonts w:ascii="Arial" w:eastAsia="Times New Roman" w:hAnsi="Arial" w:cs="Arial"/>
                <w:i/>
                <w:iCs/>
                <w:color w:val="000000"/>
                <w:sz w:val="20"/>
                <w:szCs w:val="20"/>
                <w:lang w:eastAsia="hr-HR"/>
              </w:rPr>
              <w:t>;</w:t>
            </w:r>
            <w:r w:rsidR="0015484C">
              <w:t xml:space="preserve"> </w:t>
            </w:r>
            <w:r w:rsidR="0015484C" w:rsidRPr="0015484C">
              <w:rPr>
                <w:rFonts w:ascii="Arial" w:eastAsia="Times New Roman" w:hAnsi="Arial" w:cs="Arial"/>
                <w:i/>
                <w:iCs/>
                <w:color w:val="000000"/>
                <w:sz w:val="20"/>
                <w:szCs w:val="20"/>
                <w:lang w:eastAsia="hr-HR"/>
              </w:rPr>
              <w:t>za što postoje dokazi na razini postrojenja.</w:t>
            </w:r>
          </w:p>
          <w:p w14:paraId="55B88796" w14:textId="709E5659" w:rsidR="00817748" w:rsidRDefault="00817748" w:rsidP="00954238">
            <w:pPr>
              <w:spacing w:after="0" w:line="240" w:lineRule="auto"/>
              <w:jc w:val="both"/>
              <w:rPr>
                <w:rFonts w:ascii="Arial" w:eastAsia="Times New Roman" w:hAnsi="Arial" w:cs="Arial"/>
                <w:i/>
                <w:iCs/>
                <w:color w:val="000000"/>
                <w:sz w:val="20"/>
                <w:szCs w:val="20"/>
                <w:lang w:eastAsia="hr-HR"/>
              </w:rPr>
            </w:pPr>
            <w:r w:rsidRPr="007564DD">
              <w:rPr>
                <w:rFonts w:ascii="Arial" w:eastAsia="Times New Roman" w:hAnsi="Arial" w:cs="Arial"/>
                <w:color w:val="000000"/>
                <w:sz w:val="20"/>
                <w:szCs w:val="20"/>
                <w:lang w:eastAsia="hr-HR"/>
              </w:rPr>
              <w:br/>
            </w:r>
            <w:r w:rsidRPr="007564DD">
              <w:rPr>
                <w:rFonts w:ascii="Arial" w:eastAsia="Times New Roman" w:hAnsi="Arial" w:cs="Arial"/>
                <w:b/>
                <w:bCs/>
                <w:i/>
                <w:iCs/>
                <w:color w:val="000000"/>
                <w:sz w:val="20"/>
                <w:szCs w:val="20"/>
                <w:lang w:eastAsia="hr-HR"/>
              </w:rPr>
              <w:t>**</w:t>
            </w:r>
            <w:r w:rsidRPr="007564DD">
              <w:rPr>
                <w:rFonts w:ascii="Arial" w:eastAsia="Times New Roman" w:hAnsi="Arial" w:cs="Arial"/>
                <w:i/>
                <w:iCs/>
                <w:color w:val="000000"/>
                <w:sz w:val="20"/>
                <w:szCs w:val="20"/>
                <w:lang w:eastAsia="hr-HR"/>
              </w:rPr>
              <w:t>izuzeće se ne primjenjuje na djelovanja u postojećim postrojenjima za mehaničko-biološku obradu, ako su namijenjena povećanju energetske učinkovitosti ili naknadnoj ugradnji odvojenog otpada u postupke recikliranja radi kompostiranja biootpada i anaerobne digestije biološkog otpada, pod uvjetom da takva djelovanja ne dovode do povećanja kapaciteta postrojenja za obradu otpada ili produljenja životnog vijeka postrojenja</w:t>
            </w:r>
            <w:r w:rsidR="0015484C">
              <w:rPr>
                <w:rFonts w:ascii="Arial" w:eastAsia="Times New Roman" w:hAnsi="Arial" w:cs="Arial"/>
                <w:i/>
                <w:iCs/>
                <w:color w:val="000000"/>
                <w:sz w:val="20"/>
                <w:szCs w:val="20"/>
                <w:lang w:eastAsia="hr-HR"/>
              </w:rPr>
              <w:t xml:space="preserve">; </w:t>
            </w:r>
            <w:r w:rsidR="0015484C" w:rsidRPr="0015484C">
              <w:rPr>
                <w:rFonts w:ascii="Arial" w:eastAsia="Times New Roman" w:hAnsi="Arial" w:cs="Arial"/>
                <w:i/>
                <w:iCs/>
                <w:color w:val="000000"/>
                <w:sz w:val="20"/>
                <w:szCs w:val="20"/>
                <w:lang w:eastAsia="hr-HR"/>
              </w:rPr>
              <w:t>za što postoje dokazi na razini postrojenja.</w:t>
            </w:r>
          </w:p>
          <w:p w14:paraId="6D9DF48F" w14:textId="4CFB09EC" w:rsidR="00011398" w:rsidRPr="007564DD" w:rsidRDefault="00011398" w:rsidP="00954238">
            <w:pPr>
              <w:spacing w:after="0" w:line="240" w:lineRule="auto"/>
              <w:jc w:val="both"/>
              <w:rPr>
                <w:rFonts w:ascii="Arial" w:eastAsia="Times New Roman" w:hAnsi="Arial" w:cs="Arial"/>
                <w:color w:val="000000"/>
                <w:sz w:val="20"/>
                <w:szCs w:val="20"/>
                <w:lang w:eastAsia="hr-HR"/>
              </w:rPr>
            </w:pPr>
          </w:p>
        </w:tc>
      </w:tr>
      <w:tr w:rsidR="00817748" w:rsidRPr="00FB0642" w14:paraId="63A2F9CC" w14:textId="012A9AF4" w:rsidTr="00817748">
        <w:trPr>
          <w:trHeight w:val="416"/>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499BDBBF" w14:textId="77777777" w:rsidR="00817748" w:rsidRPr="00AF0752" w:rsidRDefault="00817748" w:rsidP="00FB0642">
            <w:pPr>
              <w:spacing w:after="0" w:line="240" w:lineRule="auto"/>
              <w:rPr>
                <w:rFonts w:ascii="Arial" w:eastAsia="Times New Roman" w:hAnsi="Arial" w:cs="Arial"/>
                <w:b/>
                <w:bCs/>
                <w:color w:val="000000"/>
                <w:sz w:val="20"/>
                <w:szCs w:val="20"/>
                <w:lang w:eastAsia="hr-HR"/>
              </w:rPr>
            </w:pPr>
            <w:r w:rsidRPr="00AF0752">
              <w:rPr>
                <w:rFonts w:ascii="Arial" w:eastAsia="Times New Roman" w:hAnsi="Arial" w:cs="Arial"/>
                <w:b/>
                <w:bCs/>
                <w:color w:val="000000"/>
                <w:sz w:val="20"/>
                <w:szCs w:val="20"/>
                <w:lang w:eastAsia="hr-HR"/>
              </w:rPr>
              <w:t>15.</w:t>
            </w:r>
          </w:p>
        </w:tc>
        <w:tc>
          <w:tcPr>
            <w:tcW w:w="8572" w:type="dxa"/>
            <w:tcBorders>
              <w:top w:val="nil"/>
              <w:left w:val="nil"/>
              <w:bottom w:val="single" w:sz="4" w:space="0" w:color="auto"/>
              <w:right w:val="single" w:sz="4" w:space="0" w:color="auto"/>
            </w:tcBorders>
            <w:shd w:val="clear" w:color="auto" w:fill="auto"/>
            <w:hideMark/>
          </w:tcPr>
          <w:p w14:paraId="7B4A120A" w14:textId="77777777" w:rsidR="00817748" w:rsidRPr="007564DD" w:rsidRDefault="00817748" w:rsidP="004B443F">
            <w:pPr>
              <w:spacing w:after="0" w:line="240" w:lineRule="auto"/>
              <w:jc w:val="both"/>
              <w:rPr>
                <w:rFonts w:ascii="Arial" w:eastAsia="Times New Roman" w:hAnsi="Arial" w:cs="Arial"/>
                <w:color w:val="000000"/>
                <w:sz w:val="20"/>
                <w:szCs w:val="20"/>
                <w:lang w:eastAsia="hr-HR"/>
              </w:rPr>
            </w:pPr>
            <w:r w:rsidRPr="007564DD">
              <w:rPr>
                <w:rFonts w:ascii="Arial" w:eastAsia="Times New Roman" w:hAnsi="Arial" w:cs="Arial"/>
                <w:color w:val="000000"/>
                <w:sz w:val="20"/>
                <w:szCs w:val="20"/>
                <w:lang w:eastAsia="hr-HR"/>
              </w:rPr>
              <w:t xml:space="preserve">aktivnosti i imovina kod kojih </w:t>
            </w:r>
            <w:r w:rsidRPr="007564DD">
              <w:rPr>
                <w:rFonts w:ascii="Arial" w:eastAsia="Times New Roman" w:hAnsi="Arial" w:cs="Arial"/>
                <w:b/>
                <w:bCs/>
                <w:color w:val="000000"/>
                <w:sz w:val="20"/>
                <w:szCs w:val="20"/>
                <w:lang w:eastAsia="hr-HR"/>
              </w:rPr>
              <w:t>dugotrajno odlaganje otpada može naštetiti okolišu</w:t>
            </w:r>
            <w:r w:rsidRPr="007564DD">
              <w:rPr>
                <w:rFonts w:ascii="Arial" w:eastAsia="Times New Roman" w:hAnsi="Arial" w:cs="Arial"/>
                <w:color w:val="000000"/>
                <w:sz w:val="20"/>
                <w:szCs w:val="20"/>
                <w:lang w:eastAsia="hr-HR"/>
              </w:rPr>
              <w:t>;</w:t>
            </w:r>
          </w:p>
        </w:tc>
      </w:tr>
      <w:tr w:rsidR="005502D4" w:rsidRPr="00AF0752" w14:paraId="77E8FB46" w14:textId="0F597867" w:rsidTr="00817748">
        <w:trPr>
          <w:trHeight w:val="252"/>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E560429" w14:textId="434C84F4" w:rsidR="005502D4" w:rsidRPr="00584AC7" w:rsidRDefault="005502D4" w:rsidP="00FB0642">
            <w:pPr>
              <w:spacing w:after="0" w:line="240" w:lineRule="auto"/>
              <w:jc w:val="center"/>
              <w:rPr>
                <w:rFonts w:ascii="Arial" w:eastAsia="Times New Roman" w:hAnsi="Arial" w:cs="Arial"/>
                <w:b/>
                <w:bCs/>
                <w:color w:val="000000"/>
                <w:sz w:val="20"/>
                <w:szCs w:val="20"/>
                <w:lang w:eastAsia="hr-HR"/>
              </w:rPr>
            </w:pPr>
            <w:r w:rsidRPr="00584AC7">
              <w:rPr>
                <w:rFonts w:ascii="Arial" w:eastAsia="Times New Roman" w:hAnsi="Arial" w:cs="Arial"/>
                <w:b/>
                <w:bCs/>
                <w:color w:val="000000"/>
                <w:sz w:val="20"/>
                <w:szCs w:val="20"/>
                <w:lang w:eastAsia="hr-HR"/>
              </w:rPr>
              <w:t>1</w:t>
            </w:r>
            <w:r>
              <w:rPr>
                <w:rFonts w:ascii="Arial" w:eastAsia="Times New Roman" w:hAnsi="Arial" w:cs="Arial"/>
                <w:b/>
                <w:bCs/>
                <w:color w:val="000000"/>
                <w:sz w:val="20"/>
                <w:szCs w:val="20"/>
                <w:lang w:eastAsia="hr-HR"/>
              </w:rPr>
              <w:t>6</w:t>
            </w:r>
            <w:r w:rsidRPr="00584AC7">
              <w:rPr>
                <w:rFonts w:ascii="Arial" w:eastAsia="Times New Roman" w:hAnsi="Arial" w:cs="Arial"/>
                <w:b/>
                <w:bCs/>
                <w:color w:val="000000"/>
                <w:sz w:val="20"/>
                <w:szCs w:val="20"/>
                <w:lang w:eastAsia="hr-HR"/>
              </w:rPr>
              <w:t>.</w:t>
            </w:r>
          </w:p>
        </w:tc>
        <w:tc>
          <w:tcPr>
            <w:tcW w:w="8572" w:type="dxa"/>
            <w:tcBorders>
              <w:top w:val="nil"/>
              <w:left w:val="nil"/>
              <w:bottom w:val="single" w:sz="4" w:space="0" w:color="auto"/>
              <w:right w:val="single" w:sz="4" w:space="0" w:color="auto"/>
            </w:tcBorders>
            <w:shd w:val="clear" w:color="auto" w:fill="auto"/>
            <w:noWrap/>
            <w:vAlign w:val="center"/>
            <w:hideMark/>
          </w:tcPr>
          <w:p w14:paraId="4BF6AEA4" w14:textId="01BD422A" w:rsidR="005502D4" w:rsidRDefault="005502D4"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poljoprivredne i ribarske djelatnosti</w:t>
            </w:r>
            <w:r w:rsidRPr="00584AC7">
              <w:rPr>
                <w:rFonts w:ascii="Arial" w:eastAsia="Times New Roman" w:hAnsi="Arial" w:cs="Arial"/>
                <w:color w:val="000000"/>
                <w:sz w:val="20"/>
                <w:szCs w:val="20"/>
                <w:lang w:eastAsia="hr-HR"/>
              </w:rPr>
              <w:t xml:space="preserve"> te </w:t>
            </w:r>
            <w:r w:rsidRPr="000202DA">
              <w:rPr>
                <w:rFonts w:ascii="Arial" w:eastAsia="Times New Roman" w:hAnsi="Arial" w:cs="Arial"/>
                <w:b/>
                <w:bCs/>
                <w:color w:val="000000"/>
                <w:sz w:val="20"/>
                <w:szCs w:val="20"/>
                <w:lang w:eastAsia="hr-HR"/>
              </w:rPr>
              <w:t>ostale</w:t>
            </w:r>
            <w:r w:rsidRPr="00584AC7">
              <w:rPr>
                <w:rFonts w:ascii="Arial" w:eastAsia="Times New Roman" w:hAnsi="Arial" w:cs="Arial"/>
                <w:color w:val="000000"/>
                <w:sz w:val="20"/>
                <w:szCs w:val="20"/>
                <w:lang w:eastAsia="hr-HR"/>
              </w:rPr>
              <w:t xml:space="preserve"> djelatnosti i aktivnosti isključene važećim propisima o potporama male vrijednosti (Uredba Komisije (EU) br. </w:t>
            </w:r>
            <w:r w:rsidR="004C30D4" w:rsidRPr="004C30D4">
              <w:rPr>
                <w:rFonts w:ascii="Arial" w:eastAsia="Times New Roman" w:hAnsi="Arial" w:cs="Arial"/>
                <w:color w:val="000000"/>
                <w:sz w:val="20"/>
                <w:szCs w:val="20"/>
                <w:lang w:eastAsia="hr-HR"/>
              </w:rPr>
              <w:t>2831/2023</w:t>
            </w:r>
            <w:r w:rsidR="004C30D4">
              <w:rPr>
                <w:rFonts w:ascii="Arial" w:eastAsia="Times New Roman" w:hAnsi="Arial" w:cs="Arial"/>
                <w:color w:val="000000"/>
                <w:sz w:val="20"/>
                <w:szCs w:val="20"/>
                <w:lang w:eastAsia="hr-HR"/>
              </w:rPr>
              <w:t xml:space="preserve">) </w:t>
            </w:r>
            <w:r w:rsidR="004C30D4">
              <w:t xml:space="preserve"> </w:t>
            </w:r>
            <w:r w:rsidRPr="000202DA">
              <w:rPr>
                <w:rFonts w:ascii="Arial" w:eastAsia="Times New Roman" w:hAnsi="Arial" w:cs="Arial"/>
                <w:i/>
                <w:iCs/>
                <w:color w:val="000000"/>
                <w:sz w:val="20"/>
                <w:szCs w:val="20"/>
                <w:lang w:eastAsia="hr-HR"/>
              </w:rPr>
              <w:t xml:space="preserve">de </w:t>
            </w:r>
            <w:proofErr w:type="spellStart"/>
            <w:r w:rsidRPr="000202DA">
              <w:rPr>
                <w:rFonts w:ascii="Arial" w:eastAsia="Times New Roman" w:hAnsi="Arial" w:cs="Arial"/>
                <w:i/>
                <w:iCs/>
                <w:color w:val="000000"/>
                <w:sz w:val="20"/>
                <w:szCs w:val="20"/>
                <w:lang w:eastAsia="hr-HR"/>
              </w:rPr>
              <w:t>minimis</w:t>
            </w:r>
            <w:proofErr w:type="spellEnd"/>
            <w:r w:rsidRPr="005334A8">
              <w:rPr>
                <w:rFonts w:ascii="Arial" w:eastAsia="Times New Roman" w:hAnsi="Arial" w:cs="Arial"/>
                <w:color w:val="000000"/>
                <w:sz w:val="20"/>
                <w:szCs w:val="20"/>
                <w:lang w:eastAsia="hr-HR"/>
              </w:rPr>
              <w:t xml:space="preserve"> potpore</w:t>
            </w:r>
            <w:r>
              <w:rPr>
                <w:rFonts w:ascii="Arial" w:eastAsia="Times New Roman" w:hAnsi="Arial" w:cs="Arial"/>
                <w:color w:val="000000"/>
                <w:sz w:val="20"/>
                <w:szCs w:val="20"/>
                <w:lang w:eastAsia="hr-HR"/>
              </w:rPr>
              <w:t>;</w:t>
            </w:r>
          </w:p>
          <w:p w14:paraId="51969CAC" w14:textId="77777777" w:rsidR="005502D4" w:rsidRDefault="005502D4" w:rsidP="004B443F">
            <w:pPr>
              <w:spacing w:after="0" w:line="240" w:lineRule="auto"/>
              <w:jc w:val="both"/>
              <w:rPr>
                <w:rFonts w:ascii="Arial" w:eastAsia="Times New Roman" w:hAnsi="Arial" w:cs="Arial"/>
                <w:color w:val="000000"/>
                <w:sz w:val="20"/>
                <w:szCs w:val="20"/>
                <w:lang w:eastAsia="hr-HR"/>
              </w:rPr>
            </w:pPr>
          </w:p>
          <w:p w14:paraId="44EA9F2B" w14:textId="31F62949" w:rsidR="005502D4" w:rsidRPr="00584AC7" w:rsidRDefault="005502D4" w:rsidP="004B443F">
            <w:pPr>
              <w:spacing w:after="0" w:line="240" w:lineRule="auto"/>
              <w:jc w:val="both"/>
              <w:rPr>
                <w:rFonts w:ascii="Arial" w:eastAsia="Times New Roman" w:hAnsi="Arial" w:cs="Arial"/>
                <w:color w:val="000000"/>
                <w:sz w:val="20"/>
                <w:szCs w:val="20"/>
                <w:lang w:eastAsia="hr-HR"/>
              </w:rPr>
            </w:pPr>
          </w:p>
        </w:tc>
      </w:tr>
      <w:tr w:rsidR="005502D4" w:rsidRPr="00AF0752" w14:paraId="67FE3FBC" w14:textId="46E2B6FD" w:rsidTr="00817748">
        <w:trPr>
          <w:trHeight w:val="506"/>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FFCB7A6" w14:textId="1F8AA68F" w:rsidR="005502D4" w:rsidRPr="00584AC7" w:rsidRDefault="005502D4" w:rsidP="00FB0642">
            <w:pPr>
              <w:spacing w:after="0" w:line="240" w:lineRule="auto"/>
              <w:jc w:val="center"/>
              <w:rPr>
                <w:rFonts w:ascii="Arial" w:eastAsia="Times New Roman" w:hAnsi="Arial" w:cs="Arial"/>
                <w:b/>
                <w:bCs/>
                <w:color w:val="000000"/>
                <w:sz w:val="20"/>
                <w:szCs w:val="20"/>
                <w:lang w:eastAsia="hr-HR"/>
              </w:rPr>
            </w:pPr>
            <w:r w:rsidRPr="00584AC7">
              <w:rPr>
                <w:rFonts w:ascii="Arial" w:eastAsia="Times New Roman" w:hAnsi="Arial" w:cs="Arial"/>
                <w:b/>
                <w:bCs/>
                <w:color w:val="000000"/>
                <w:sz w:val="20"/>
                <w:szCs w:val="20"/>
                <w:lang w:eastAsia="hr-HR"/>
              </w:rPr>
              <w:t>1</w:t>
            </w:r>
            <w:r>
              <w:rPr>
                <w:rFonts w:ascii="Arial" w:eastAsia="Times New Roman" w:hAnsi="Arial" w:cs="Arial"/>
                <w:b/>
                <w:bCs/>
                <w:color w:val="000000"/>
                <w:sz w:val="20"/>
                <w:szCs w:val="20"/>
                <w:lang w:eastAsia="hr-HR"/>
              </w:rPr>
              <w:t>7</w:t>
            </w:r>
            <w:r w:rsidRPr="00584AC7">
              <w:rPr>
                <w:rFonts w:ascii="Arial" w:eastAsia="Times New Roman" w:hAnsi="Arial" w:cs="Arial"/>
                <w:b/>
                <w:bCs/>
                <w:color w:val="000000"/>
                <w:sz w:val="20"/>
                <w:szCs w:val="20"/>
                <w:lang w:eastAsia="hr-HR"/>
              </w:rPr>
              <w:t>.</w:t>
            </w:r>
          </w:p>
        </w:tc>
        <w:tc>
          <w:tcPr>
            <w:tcW w:w="8572" w:type="dxa"/>
            <w:tcBorders>
              <w:top w:val="nil"/>
              <w:left w:val="nil"/>
              <w:bottom w:val="single" w:sz="4" w:space="0" w:color="auto"/>
              <w:right w:val="single" w:sz="4" w:space="0" w:color="auto"/>
            </w:tcBorders>
            <w:shd w:val="clear" w:color="auto" w:fill="auto"/>
            <w:vAlign w:val="center"/>
            <w:hideMark/>
          </w:tcPr>
          <w:p w14:paraId="2A26D271" w14:textId="77777777" w:rsidR="005502D4" w:rsidRDefault="005502D4"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financijske djelatnosti i djelatnosti osiguranja</w:t>
            </w:r>
            <w:r w:rsidRPr="007377EC">
              <w:rPr>
                <w:rFonts w:ascii="Arial" w:eastAsia="Times New Roman" w:hAnsi="Arial" w:cs="Arial"/>
                <w:color w:val="000000"/>
                <w:sz w:val="20"/>
                <w:szCs w:val="20"/>
                <w:lang w:eastAsia="hr-HR"/>
              </w:rPr>
              <w:t xml:space="preserve"> (osim povezanih uslužnih djelatnosti) i trgovanje kripto valutama</w:t>
            </w:r>
            <w:r>
              <w:rPr>
                <w:rFonts w:ascii="Arial" w:eastAsia="Times New Roman" w:hAnsi="Arial" w:cs="Arial"/>
                <w:color w:val="000000"/>
                <w:sz w:val="20"/>
                <w:szCs w:val="20"/>
                <w:lang w:eastAsia="hr-HR"/>
              </w:rPr>
              <w:t>;</w:t>
            </w:r>
          </w:p>
          <w:p w14:paraId="2E640ED8" w14:textId="77777777" w:rsidR="005502D4" w:rsidRDefault="005502D4" w:rsidP="004B443F">
            <w:pPr>
              <w:spacing w:after="0" w:line="240" w:lineRule="auto"/>
              <w:jc w:val="both"/>
              <w:rPr>
                <w:rFonts w:ascii="Arial" w:eastAsia="Times New Roman" w:hAnsi="Arial" w:cs="Arial"/>
                <w:color w:val="000000"/>
                <w:sz w:val="20"/>
                <w:szCs w:val="20"/>
                <w:lang w:eastAsia="hr-HR"/>
              </w:rPr>
            </w:pPr>
          </w:p>
          <w:p w14:paraId="5D1E21A9" w14:textId="0D538F59" w:rsidR="005502D4" w:rsidRPr="00584AC7" w:rsidRDefault="005502D4" w:rsidP="004B443F">
            <w:pPr>
              <w:spacing w:after="0" w:line="240" w:lineRule="auto"/>
              <w:jc w:val="both"/>
              <w:rPr>
                <w:rFonts w:ascii="Arial" w:eastAsia="Times New Roman" w:hAnsi="Arial" w:cs="Arial"/>
                <w:color w:val="000000"/>
                <w:sz w:val="20"/>
                <w:szCs w:val="20"/>
                <w:lang w:eastAsia="hr-HR"/>
              </w:rPr>
            </w:pPr>
          </w:p>
        </w:tc>
      </w:tr>
      <w:tr w:rsidR="005502D4" w:rsidRPr="00AF0752" w14:paraId="4124D8F7" w14:textId="58EE08C8" w:rsidTr="00817748">
        <w:trPr>
          <w:trHeight w:val="252"/>
        </w:trPr>
        <w:tc>
          <w:tcPr>
            <w:tcW w:w="495"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FE00C5B" w14:textId="060F2984" w:rsidR="005502D4" w:rsidRPr="00584AC7" w:rsidRDefault="005502D4" w:rsidP="00FB0642">
            <w:pPr>
              <w:spacing w:after="0" w:line="240" w:lineRule="auto"/>
              <w:jc w:val="center"/>
              <w:rPr>
                <w:rFonts w:ascii="Arial" w:eastAsia="Times New Roman" w:hAnsi="Arial" w:cs="Arial"/>
                <w:b/>
                <w:bCs/>
                <w:color w:val="000000"/>
                <w:sz w:val="20"/>
                <w:szCs w:val="20"/>
                <w:lang w:eastAsia="hr-HR"/>
              </w:rPr>
            </w:pPr>
            <w:r w:rsidRPr="00584AC7">
              <w:rPr>
                <w:rFonts w:ascii="Arial" w:eastAsia="Times New Roman" w:hAnsi="Arial" w:cs="Arial"/>
                <w:b/>
                <w:bCs/>
                <w:color w:val="000000"/>
                <w:sz w:val="20"/>
                <w:szCs w:val="20"/>
                <w:lang w:eastAsia="hr-HR"/>
              </w:rPr>
              <w:t>1</w:t>
            </w:r>
            <w:r>
              <w:rPr>
                <w:rFonts w:ascii="Arial" w:eastAsia="Times New Roman" w:hAnsi="Arial" w:cs="Arial"/>
                <w:b/>
                <w:bCs/>
                <w:color w:val="000000"/>
                <w:sz w:val="20"/>
                <w:szCs w:val="20"/>
                <w:lang w:eastAsia="hr-HR"/>
              </w:rPr>
              <w:t>8</w:t>
            </w:r>
            <w:r w:rsidRPr="00584AC7">
              <w:rPr>
                <w:rFonts w:ascii="Arial" w:eastAsia="Times New Roman" w:hAnsi="Arial" w:cs="Arial"/>
                <w:b/>
                <w:bCs/>
                <w:color w:val="000000"/>
                <w:sz w:val="20"/>
                <w:szCs w:val="20"/>
                <w:lang w:eastAsia="hr-HR"/>
              </w:rPr>
              <w:t>.</w:t>
            </w:r>
          </w:p>
        </w:tc>
        <w:tc>
          <w:tcPr>
            <w:tcW w:w="8572" w:type="dxa"/>
            <w:tcBorders>
              <w:top w:val="nil"/>
              <w:left w:val="nil"/>
              <w:bottom w:val="single" w:sz="4" w:space="0" w:color="auto"/>
              <w:right w:val="single" w:sz="4" w:space="0" w:color="auto"/>
            </w:tcBorders>
            <w:shd w:val="clear" w:color="auto" w:fill="auto"/>
            <w:noWrap/>
            <w:vAlign w:val="center"/>
            <w:hideMark/>
          </w:tcPr>
          <w:p w14:paraId="7146B89A" w14:textId="792FD941" w:rsidR="005502D4" w:rsidRPr="00584AC7" w:rsidRDefault="005502D4" w:rsidP="004B443F">
            <w:pPr>
              <w:spacing w:after="0" w:line="240" w:lineRule="auto"/>
              <w:jc w:val="both"/>
              <w:rPr>
                <w:rFonts w:ascii="Arial" w:eastAsia="Times New Roman" w:hAnsi="Arial" w:cs="Arial"/>
                <w:color w:val="000000"/>
                <w:sz w:val="20"/>
                <w:szCs w:val="20"/>
                <w:lang w:eastAsia="hr-HR"/>
              </w:rPr>
            </w:pPr>
            <w:r w:rsidRPr="000202DA">
              <w:rPr>
                <w:rFonts w:ascii="Arial" w:eastAsia="Times New Roman" w:hAnsi="Arial" w:cs="Arial"/>
                <w:b/>
                <w:bCs/>
                <w:color w:val="000000"/>
                <w:sz w:val="20"/>
                <w:szCs w:val="20"/>
                <w:lang w:eastAsia="hr-HR"/>
              </w:rPr>
              <w:t>sve aktivnosti</w:t>
            </w:r>
            <w:r w:rsidRPr="00584AC7">
              <w:rPr>
                <w:rFonts w:ascii="Arial" w:eastAsia="Times New Roman" w:hAnsi="Arial" w:cs="Arial"/>
                <w:color w:val="000000"/>
                <w:sz w:val="20"/>
                <w:szCs w:val="20"/>
                <w:lang w:eastAsia="hr-HR"/>
              </w:rPr>
              <w:t xml:space="preserve"> koje nije dopušteno financirati potporama iz relevantnih uredbi o državnim potporama poput GBER-a, ABER-a, </w:t>
            </w:r>
            <w:r w:rsidRPr="000202DA">
              <w:rPr>
                <w:rFonts w:ascii="Arial" w:eastAsia="Times New Roman" w:hAnsi="Arial" w:cs="Arial"/>
                <w:i/>
                <w:iCs/>
                <w:color w:val="000000"/>
                <w:sz w:val="20"/>
                <w:szCs w:val="20"/>
                <w:lang w:eastAsia="hr-HR"/>
              </w:rPr>
              <w:t>de minimis</w:t>
            </w:r>
            <w:r w:rsidR="004C30D4">
              <w:rPr>
                <w:rFonts w:ascii="Arial" w:eastAsia="Times New Roman" w:hAnsi="Arial" w:cs="Arial"/>
                <w:i/>
                <w:iCs/>
                <w:color w:val="000000"/>
                <w:sz w:val="20"/>
                <w:szCs w:val="20"/>
                <w:lang w:eastAsia="hr-HR"/>
              </w:rPr>
              <w:t>-</w:t>
            </w:r>
            <w:r w:rsidRPr="000202DA">
              <w:rPr>
                <w:rFonts w:ascii="Arial" w:eastAsia="Times New Roman" w:hAnsi="Arial" w:cs="Arial"/>
                <w:i/>
                <w:iCs/>
                <w:color w:val="000000"/>
                <w:sz w:val="20"/>
                <w:szCs w:val="20"/>
                <w:lang w:eastAsia="hr-HR"/>
              </w:rPr>
              <w:t>a</w:t>
            </w:r>
            <w:r w:rsidRPr="00584AC7">
              <w:rPr>
                <w:rFonts w:ascii="Arial" w:eastAsia="Times New Roman" w:hAnsi="Arial" w:cs="Arial"/>
                <w:color w:val="000000"/>
                <w:sz w:val="20"/>
                <w:szCs w:val="20"/>
                <w:lang w:eastAsia="hr-HR"/>
              </w:rPr>
              <w:t xml:space="preserve"> i ostalih propisa primjenjivih na ovaj financijski instrument</w:t>
            </w:r>
            <w:r>
              <w:rPr>
                <w:rFonts w:ascii="Arial" w:eastAsia="Times New Roman" w:hAnsi="Arial" w:cs="Arial"/>
                <w:color w:val="000000"/>
                <w:sz w:val="20"/>
                <w:szCs w:val="20"/>
                <w:lang w:eastAsia="hr-HR"/>
              </w:rPr>
              <w:t>;</w:t>
            </w:r>
          </w:p>
        </w:tc>
      </w:tr>
    </w:tbl>
    <w:p w14:paraId="3FEB4BD8" w14:textId="222596A2" w:rsidR="00FB0642" w:rsidRPr="00AF0752" w:rsidRDefault="00FB0642" w:rsidP="00D00F03">
      <w:pPr>
        <w:spacing w:after="0"/>
        <w:jc w:val="both"/>
        <w:rPr>
          <w:rFonts w:ascii="Arial" w:eastAsia="Times New Roman" w:hAnsi="Arial" w:cs="Arial"/>
          <w:color w:val="000000"/>
          <w:sz w:val="20"/>
          <w:szCs w:val="20"/>
          <w:lang w:eastAsia="hr-HR"/>
        </w:rPr>
      </w:pPr>
    </w:p>
    <w:p w14:paraId="34FBF8C4" w14:textId="41834966" w:rsidR="001B0997" w:rsidRDefault="001B0997" w:rsidP="00D00F03">
      <w:pPr>
        <w:spacing w:after="0"/>
        <w:jc w:val="both"/>
      </w:pPr>
    </w:p>
    <w:bookmarkEnd w:id="0"/>
    <w:p w14:paraId="64A3B1DB" w14:textId="76EB1CA9" w:rsidR="001B0997" w:rsidRDefault="001B0997" w:rsidP="00D00F03">
      <w:pPr>
        <w:spacing w:after="0"/>
        <w:jc w:val="both"/>
      </w:pPr>
    </w:p>
    <w:sectPr w:rsidR="001B0997" w:rsidSect="00561C57">
      <w:headerReference w:type="default" r:id="rId8"/>
      <w:pgSz w:w="11906" w:h="16838" w:code="9"/>
      <w:pgMar w:top="1417" w:right="1417" w:bottom="1417" w:left="1417" w:header="68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BCE0" w14:textId="77777777" w:rsidR="00EC2692" w:rsidRDefault="00EC2692" w:rsidP="00C876B3">
      <w:pPr>
        <w:spacing w:after="0" w:line="240" w:lineRule="auto"/>
      </w:pPr>
      <w:r>
        <w:separator/>
      </w:r>
    </w:p>
  </w:endnote>
  <w:endnote w:type="continuationSeparator" w:id="0">
    <w:p w14:paraId="6A9D56CF" w14:textId="77777777" w:rsidR="00EC2692" w:rsidRDefault="00EC2692" w:rsidP="00C8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6A8B" w14:textId="77777777" w:rsidR="00EC2692" w:rsidRDefault="00EC2692" w:rsidP="00C876B3">
      <w:pPr>
        <w:spacing w:after="0" w:line="240" w:lineRule="auto"/>
      </w:pPr>
      <w:r>
        <w:separator/>
      </w:r>
    </w:p>
  </w:footnote>
  <w:footnote w:type="continuationSeparator" w:id="0">
    <w:p w14:paraId="16D3652D" w14:textId="77777777" w:rsidR="00EC2692" w:rsidRDefault="00EC2692" w:rsidP="00C8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5456" w14:textId="0BF2A909" w:rsidR="00A873C9" w:rsidRDefault="00C876B3" w:rsidP="00A873C9">
    <w:pPr>
      <w:pStyle w:val="Header"/>
    </w:pPr>
    <w:r>
      <w:rPr>
        <w:noProof/>
        <w:lang w:eastAsia="hr-HR"/>
      </w:rPr>
      <w:drawing>
        <wp:inline distT="0" distB="0" distL="0" distR="0" wp14:anchorId="203FD19C" wp14:editId="6F495D35">
          <wp:extent cx="2064385" cy="466725"/>
          <wp:effectExtent l="0" t="0" r="0" b="9525"/>
          <wp:docPr id="2" name="Slika 2">
            <a:extLst xmlns:a="http://schemas.openxmlformats.org/drawingml/2006/main">
              <a:ext uri="{FF2B5EF4-FFF2-40B4-BE49-F238E27FC236}">
                <a16:creationId xmlns:a16="http://schemas.microsoft.com/office/drawing/2014/main" id="{34DA5CB3-B1B1-6D5D-6E2F-AE8840FFE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FF2B5EF4-FFF2-40B4-BE49-F238E27FC236}">
                        <a16:creationId xmlns:a16="http://schemas.microsoft.com/office/drawing/2014/main" id="{34DA5CB3-B1B1-6D5D-6E2F-AE8840FFE50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575" cy="466768"/>
                  </a:xfrm>
                  <a:prstGeom prst="rect">
                    <a:avLst/>
                  </a:prstGeom>
                  <a:noFill/>
                </pic:spPr>
              </pic:pic>
            </a:graphicData>
          </a:graphic>
        </wp:inline>
      </w:drawing>
    </w:r>
    <w:r w:rsidR="00A873C9">
      <w:rPr>
        <w:noProof/>
      </w:rPr>
      <w:t xml:space="preserve">                                            </w:t>
    </w:r>
    <w:r w:rsidR="00A873C9">
      <w:rPr>
        <w:noProof/>
        <w:lang w:eastAsia="hr-HR"/>
      </w:rPr>
      <w:drawing>
        <wp:inline distT="0" distB="0" distL="0" distR="0" wp14:anchorId="47588D3D" wp14:editId="2F076E59">
          <wp:extent cx="22574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pic:spPr>
              </pic:pic>
            </a:graphicData>
          </a:graphic>
        </wp:inline>
      </w:drawing>
    </w:r>
  </w:p>
  <w:p w14:paraId="2DAF18E7" w14:textId="3D99BFDE" w:rsidR="00A873C9" w:rsidRDefault="00A873C9" w:rsidP="00A873C9">
    <w:pPr>
      <w:pStyle w:val="Header"/>
      <w:jc w:val="right"/>
    </w:pPr>
    <w:r>
      <w:t xml:space="preserve">                                                         </w:t>
    </w:r>
  </w:p>
  <w:p w14:paraId="0EC31F80" w14:textId="77777777" w:rsidR="00A873C9" w:rsidRDefault="00A87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942"/>
    <w:multiLevelType w:val="hybridMultilevel"/>
    <w:tmpl w:val="89EA6078"/>
    <w:lvl w:ilvl="0" w:tplc="4244B830">
      <w:start w:val="1"/>
      <w:numFmt w:val="decimal"/>
      <w:lvlText w:val="%1."/>
      <w:lvlJc w:val="left"/>
      <w:pPr>
        <w:ind w:left="720" w:hanging="360"/>
      </w:pPr>
      <w:rPr>
        <w:rFonts w:hint="default"/>
      </w:rPr>
    </w:lvl>
    <w:lvl w:ilvl="1" w:tplc="494C4A06">
      <w:start w:val="1"/>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655A7A"/>
    <w:multiLevelType w:val="hybridMultilevel"/>
    <w:tmpl w:val="938282F8"/>
    <w:lvl w:ilvl="0" w:tplc="8534A81E">
      <w:start w:val="1"/>
      <w:numFmt w:val="low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894FB5"/>
    <w:multiLevelType w:val="hybridMultilevel"/>
    <w:tmpl w:val="08223E98"/>
    <w:lvl w:ilvl="0" w:tplc="041A000F">
      <w:start w:val="1"/>
      <w:numFmt w:val="decimal"/>
      <w:lvlText w:val="%1."/>
      <w:lvlJc w:val="left"/>
      <w:pPr>
        <w:ind w:left="720" w:hanging="360"/>
      </w:pPr>
    </w:lvl>
    <w:lvl w:ilvl="1" w:tplc="F01E5236">
      <w:start w:val="5"/>
      <w:numFmt w:val="bullet"/>
      <w:lvlText w:val="−"/>
      <w:lvlJc w:val="left"/>
      <w:pPr>
        <w:ind w:left="1440" w:hanging="360"/>
      </w:pPr>
      <w:rPr>
        <w:rFonts w:ascii="Calibri" w:eastAsiaTheme="minorHAnsi" w:hAnsi="Calibri" w:cs="Calibri" w:hint="default"/>
      </w:rPr>
    </w:lvl>
    <w:lvl w:ilvl="2" w:tplc="B4D4D31A">
      <w:start w:val="5"/>
      <w:numFmt w:val="bullet"/>
      <w:lvlText w:val="–"/>
      <w:lvlJc w:val="left"/>
      <w:pPr>
        <w:ind w:left="2340" w:hanging="360"/>
      </w:pPr>
      <w:rPr>
        <w:rFonts w:ascii="Calibri Light" w:eastAsiaTheme="minorHAnsi" w:hAnsi="Calibri Light" w:cs="Calibri Light"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5C6F47"/>
    <w:multiLevelType w:val="hybridMultilevel"/>
    <w:tmpl w:val="6CEC0F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34A2A"/>
    <w:multiLevelType w:val="hybridMultilevel"/>
    <w:tmpl w:val="CF208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9D4F4E"/>
    <w:multiLevelType w:val="hybridMultilevel"/>
    <w:tmpl w:val="6A6ACE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D1396C"/>
    <w:multiLevelType w:val="hybridMultilevel"/>
    <w:tmpl w:val="584A747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BC50C8"/>
    <w:multiLevelType w:val="hybridMultilevel"/>
    <w:tmpl w:val="83E2DCBC"/>
    <w:lvl w:ilvl="0" w:tplc="9E8C0068">
      <w:start w:val="1"/>
      <w:numFmt w:val="bullet"/>
      <w:lvlText w:val=""/>
      <w:lvlJc w:val="left"/>
      <w:pPr>
        <w:ind w:left="720" w:hanging="360"/>
      </w:pPr>
      <w:rPr>
        <w:rFonts w:ascii="Symbol" w:hAnsi="Symbol"/>
      </w:rPr>
    </w:lvl>
    <w:lvl w:ilvl="1" w:tplc="05D05CEC">
      <w:start w:val="1"/>
      <w:numFmt w:val="bullet"/>
      <w:lvlText w:val=""/>
      <w:lvlJc w:val="left"/>
      <w:pPr>
        <w:ind w:left="720" w:hanging="360"/>
      </w:pPr>
      <w:rPr>
        <w:rFonts w:ascii="Symbol" w:hAnsi="Symbol"/>
      </w:rPr>
    </w:lvl>
    <w:lvl w:ilvl="2" w:tplc="4F002110">
      <w:start w:val="1"/>
      <w:numFmt w:val="bullet"/>
      <w:lvlText w:val=""/>
      <w:lvlJc w:val="left"/>
      <w:pPr>
        <w:ind w:left="720" w:hanging="360"/>
      </w:pPr>
      <w:rPr>
        <w:rFonts w:ascii="Symbol" w:hAnsi="Symbol"/>
      </w:rPr>
    </w:lvl>
    <w:lvl w:ilvl="3" w:tplc="D3EA77B4">
      <w:start w:val="1"/>
      <w:numFmt w:val="bullet"/>
      <w:lvlText w:val=""/>
      <w:lvlJc w:val="left"/>
      <w:pPr>
        <w:ind w:left="720" w:hanging="360"/>
      </w:pPr>
      <w:rPr>
        <w:rFonts w:ascii="Symbol" w:hAnsi="Symbol"/>
      </w:rPr>
    </w:lvl>
    <w:lvl w:ilvl="4" w:tplc="B652D6AA">
      <w:start w:val="1"/>
      <w:numFmt w:val="bullet"/>
      <w:lvlText w:val=""/>
      <w:lvlJc w:val="left"/>
      <w:pPr>
        <w:ind w:left="720" w:hanging="360"/>
      </w:pPr>
      <w:rPr>
        <w:rFonts w:ascii="Symbol" w:hAnsi="Symbol"/>
      </w:rPr>
    </w:lvl>
    <w:lvl w:ilvl="5" w:tplc="F0467312">
      <w:start w:val="1"/>
      <w:numFmt w:val="bullet"/>
      <w:lvlText w:val=""/>
      <w:lvlJc w:val="left"/>
      <w:pPr>
        <w:ind w:left="720" w:hanging="360"/>
      </w:pPr>
      <w:rPr>
        <w:rFonts w:ascii="Symbol" w:hAnsi="Symbol"/>
      </w:rPr>
    </w:lvl>
    <w:lvl w:ilvl="6" w:tplc="FA042620">
      <w:start w:val="1"/>
      <w:numFmt w:val="bullet"/>
      <w:lvlText w:val=""/>
      <w:lvlJc w:val="left"/>
      <w:pPr>
        <w:ind w:left="720" w:hanging="360"/>
      </w:pPr>
      <w:rPr>
        <w:rFonts w:ascii="Symbol" w:hAnsi="Symbol"/>
      </w:rPr>
    </w:lvl>
    <w:lvl w:ilvl="7" w:tplc="DBA0369C">
      <w:start w:val="1"/>
      <w:numFmt w:val="bullet"/>
      <w:lvlText w:val=""/>
      <w:lvlJc w:val="left"/>
      <w:pPr>
        <w:ind w:left="720" w:hanging="360"/>
      </w:pPr>
      <w:rPr>
        <w:rFonts w:ascii="Symbol" w:hAnsi="Symbol"/>
      </w:rPr>
    </w:lvl>
    <w:lvl w:ilvl="8" w:tplc="6D4428B4">
      <w:start w:val="1"/>
      <w:numFmt w:val="bullet"/>
      <w:lvlText w:val=""/>
      <w:lvlJc w:val="left"/>
      <w:pPr>
        <w:ind w:left="720" w:hanging="360"/>
      </w:pPr>
      <w:rPr>
        <w:rFonts w:ascii="Symbol" w:hAnsi="Symbol"/>
      </w:rPr>
    </w:lvl>
  </w:abstractNum>
  <w:num w:numId="1" w16cid:durableId="1556502015">
    <w:abstractNumId w:val="5"/>
  </w:num>
  <w:num w:numId="2" w16cid:durableId="969475554">
    <w:abstractNumId w:val="4"/>
  </w:num>
  <w:num w:numId="3" w16cid:durableId="730929747">
    <w:abstractNumId w:val="1"/>
  </w:num>
  <w:num w:numId="4" w16cid:durableId="915362662">
    <w:abstractNumId w:val="2"/>
  </w:num>
  <w:num w:numId="5" w16cid:durableId="597562407">
    <w:abstractNumId w:val="0"/>
  </w:num>
  <w:num w:numId="6" w16cid:durableId="1372998361">
    <w:abstractNumId w:val="6"/>
  </w:num>
  <w:num w:numId="7" w16cid:durableId="650182663">
    <w:abstractNumId w:val="3"/>
  </w:num>
  <w:num w:numId="8" w16cid:durableId="48580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B3"/>
    <w:rsid w:val="00011398"/>
    <w:rsid w:val="000170C5"/>
    <w:rsid w:val="000202DA"/>
    <w:rsid w:val="000221C9"/>
    <w:rsid w:val="00023061"/>
    <w:rsid w:val="00035523"/>
    <w:rsid w:val="00050A58"/>
    <w:rsid w:val="0005292C"/>
    <w:rsid w:val="000801A1"/>
    <w:rsid w:val="00097DCD"/>
    <w:rsid w:val="000D0787"/>
    <w:rsid w:val="000F1239"/>
    <w:rsid w:val="00103399"/>
    <w:rsid w:val="00115B9C"/>
    <w:rsid w:val="00124B23"/>
    <w:rsid w:val="00145055"/>
    <w:rsid w:val="0015484C"/>
    <w:rsid w:val="00154D9B"/>
    <w:rsid w:val="001571B5"/>
    <w:rsid w:val="001629B5"/>
    <w:rsid w:val="00172660"/>
    <w:rsid w:val="00180C59"/>
    <w:rsid w:val="00183892"/>
    <w:rsid w:val="00187076"/>
    <w:rsid w:val="00196C2C"/>
    <w:rsid w:val="001B0997"/>
    <w:rsid w:val="001B6E9D"/>
    <w:rsid w:val="001C04A5"/>
    <w:rsid w:val="001D20EC"/>
    <w:rsid w:val="002121F4"/>
    <w:rsid w:val="002247B0"/>
    <w:rsid w:val="00253185"/>
    <w:rsid w:val="002C4C27"/>
    <w:rsid w:val="002D3211"/>
    <w:rsid w:val="00316B35"/>
    <w:rsid w:val="00340CF2"/>
    <w:rsid w:val="003414F4"/>
    <w:rsid w:val="003457D4"/>
    <w:rsid w:val="00351DAC"/>
    <w:rsid w:val="003539AA"/>
    <w:rsid w:val="003A30A6"/>
    <w:rsid w:val="00421EFB"/>
    <w:rsid w:val="00427AB0"/>
    <w:rsid w:val="00470338"/>
    <w:rsid w:val="00490ED8"/>
    <w:rsid w:val="0049713D"/>
    <w:rsid w:val="004B443F"/>
    <w:rsid w:val="004B463E"/>
    <w:rsid w:val="004C30D4"/>
    <w:rsid w:val="004D5397"/>
    <w:rsid w:val="004E2590"/>
    <w:rsid w:val="004E6CF1"/>
    <w:rsid w:val="0050211E"/>
    <w:rsid w:val="005334A8"/>
    <w:rsid w:val="00550292"/>
    <w:rsid w:val="005502D4"/>
    <w:rsid w:val="00561C57"/>
    <w:rsid w:val="0058154D"/>
    <w:rsid w:val="005817C7"/>
    <w:rsid w:val="00584AC7"/>
    <w:rsid w:val="00602A50"/>
    <w:rsid w:val="006040BD"/>
    <w:rsid w:val="0060694D"/>
    <w:rsid w:val="006111ED"/>
    <w:rsid w:val="006202EB"/>
    <w:rsid w:val="00654906"/>
    <w:rsid w:val="00656EF5"/>
    <w:rsid w:val="006961F5"/>
    <w:rsid w:val="00706D37"/>
    <w:rsid w:val="00727B8F"/>
    <w:rsid w:val="007341AB"/>
    <w:rsid w:val="007377EC"/>
    <w:rsid w:val="007535A2"/>
    <w:rsid w:val="007564DD"/>
    <w:rsid w:val="007C43FA"/>
    <w:rsid w:val="007C456F"/>
    <w:rsid w:val="00814578"/>
    <w:rsid w:val="00817748"/>
    <w:rsid w:val="008414D4"/>
    <w:rsid w:val="0087078D"/>
    <w:rsid w:val="008C2A36"/>
    <w:rsid w:val="00954238"/>
    <w:rsid w:val="00976DD3"/>
    <w:rsid w:val="00977EB0"/>
    <w:rsid w:val="009B6C94"/>
    <w:rsid w:val="009D616F"/>
    <w:rsid w:val="009F5C7B"/>
    <w:rsid w:val="00A6023E"/>
    <w:rsid w:val="00A67A15"/>
    <w:rsid w:val="00A67D34"/>
    <w:rsid w:val="00A873C9"/>
    <w:rsid w:val="00AD2685"/>
    <w:rsid w:val="00AF0752"/>
    <w:rsid w:val="00B633F7"/>
    <w:rsid w:val="00B6599F"/>
    <w:rsid w:val="00BA4037"/>
    <w:rsid w:val="00BD73A5"/>
    <w:rsid w:val="00BF0AE3"/>
    <w:rsid w:val="00BF6F17"/>
    <w:rsid w:val="00C30733"/>
    <w:rsid w:val="00C327D5"/>
    <w:rsid w:val="00C618AC"/>
    <w:rsid w:val="00C83C51"/>
    <w:rsid w:val="00C876B3"/>
    <w:rsid w:val="00C87DAD"/>
    <w:rsid w:val="00CA1243"/>
    <w:rsid w:val="00CD1D2B"/>
    <w:rsid w:val="00CE4663"/>
    <w:rsid w:val="00CE6F8F"/>
    <w:rsid w:val="00D00F03"/>
    <w:rsid w:val="00D11CB4"/>
    <w:rsid w:val="00D30E69"/>
    <w:rsid w:val="00D55FE6"/>
    <w:rsid w:val="00D60EB9"/>
    <w:rsid w:val="00D81030"/>
    <w:rsid w:val="00D82739"/>
    <w:rsid w:val="00D9470D"/>
    <w:rsid w:val="00DB6477"/>
    <w:rsid w:val="00DF5933"/>
    <w:rsid w:val="00E25928"/>
    <w:rsid w:val="00E5037C"/>
    <w:rsid w:val="00E57B3D"/>
    <w:rsid w:val="00E670B5"/>
    <w:rsid w:val="00E677B1"/>
    <w:rsid w:val="00E70747"/>
    <w:rsid w:val="00E74A35"/>
    <w:rsid w:val="00EC2692"/>
    <w:rsid w:val="00EC2B4A"/>
    <w:rsid w:val="00EC3D45"/>
    <w:rsid w:val="00ED447A"/>
    <w:rsid w:val="00ED5379"/>
    <w:rsid w:val="00F057EC"/>
    <w:rsid w:val="00F12055"/>
    <w:rsid w:val="00F12448"/>
    <w:rsid w:val="00F3657B"/>
    <w:rsid w:val="00F43014"/>
    <w:rsid w:val="00F55304"/>
    <w:rsid w:val="00FB0642"/>
    <w:rsid w:val="00FB5A7A"/>
    <w:rsid w:val="00FB5F9B"/>
    <w:rsid w:val="00FD10CB"/>
    <w:rsid w:val="00FE4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8DAFF4"/>
  <w15:chartTrackingRefBased/>
  <w15:docId w15:val="{8C8FD19D-4561-4DDD-9F86-10DF59E3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57"/>
  </w:style>
  <w:style w:type="paragraph" w:styleId="Heading1">
    <w:name w:val="heading 1"/>
    <w:basedOn w:val="Normal"/>
    <w:next w:val="Normal"/>
    <w:link w:val="Heading1Char"/>
    <w:uiPriority w:val="9"/>
    <w:qFormat/>
    <w:rsid w:val="00561C5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61C5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1C5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1C5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61C5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61C5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61C5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61C5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61C5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6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6B3"/>
  </w:style>
  <w:style w:type="paragraph" w:styleId="Footer">
    <w:name w:val="footer"/>
    <w:basedOn w:val="Normal"/>
    <w:link w:val="FooterChar"/>
    <w:uiPriority w:val="99"/>
    <w:unhideWhenUsed/>
    <w:rsid w:val="00C876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6B3"/>
  </w:style>
  <w:style w:type="paragraph" w:styleId="ListParagraph">
    <w:name w:val="List Paragraph"/>
    <w:basedOn w:val="Normal"/>
    <w:uiPriority w:val="34"/>
    <w:qFormat/>
    <w:rsid w:val="00602A50"/>
    <w:pPr>
      <w:ind w:left="720"/>
      <w:contextualSpacing/>
    </w:pPr>
  </w:style>
  <w:style w:type="table" w:styleId="MediumList2-Accent1">
    <w:name w:val="Medium List 2 Accent 1"/>
    <w:basedOn w:val="TableNormal"/>
    <w:uiPriority w:val="66"/>
    <w:rsid w:val="00421EFB"/>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C8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B23"/>
    <w:rPr>
      <w:color w:val="0563C1"/>
      <w:u w:val="single"/>
    </w:rPr>
  </w:style>
  <w:style w:type="character" w:customStyle="1" w:styleId="UnresolvedMention1">
    <w:name w:val="Unresolved Mention1"/>
    <w:basedOn w:val="DefaultParagraphFont"/>
    <w:uiPriority w:val="99"/>
    <w:semiHidden/>
    <w:unhideWhenUsed/>
    <w:rsid w:val="00124B23"/>
    <w:rPr>
      <w:color w:val="605E5C"/>
      <w:shd w:val="clear" w:color="auto" w:fill="E1DFDD"/>
    </w:rPr>
  </w:style>
  <w:style w:type="character" w:styleId="CommentReference">
    <w:name w:val="annotation reference"/>
    <w:basedOn w:val="DefaultParagraphFont"/>
    <w:uiPriority w:val="99"/>
    <w:semiHidden/>
    <w:unhideWhenUsed/>
    <w:rsid w:val="00253185"/>
    <w:rPr>
      <w:sz w:val="16"/>
      <w:szCs w:val="16"/>
    </w:rPr>
  </w:style>
  <w:style w:type="paragraph" w:styleId="CommentText">
    <w:name w:val="annotation text"/>
    <w:basedOn w:val="Normal"/>
    <w:link w:val="CommentTextChar"/>
    <w:uiPriority w:val="99"/>
    <w:unhideWhenUsed/>
    <w:rsid w:val="00253185"/>
    <w:pPr>
      <w:spacing w:line="240" w:lineRule="auto"/>
    </w:pPr>
    <w:rPr>
      <w:sz w:val="20"/>
      <w:szCs w:val="20"/>
    </w:rPr>
  </w:style>
  <w:style w:type="character" w:customStyle="1" w:styleId="CommentTextChar">
    <w:name w:val="Comment Text Char"/>
    <w:basedOn w:val="DefaultParagraphFont"/>
    <w:link w:val="CommentText"/>
    <w:uiPriority w:val="99"/>
    <w:rsid w:val="00253185"/>
    <w:rPr>
      <w:sz w:val="20"/>
      <w:szCs w:val="20"/>
    </w:rPr>
  </w:style>
  <w:style w:type="paragraph" w:styleId="CommentSubject">
    <w:name w:val="annotation subject"/>
    <w:basedOn w:val="CommentText"/>
    <w:next w:val="CommentText"/>
    <w:link w:val="CommentSubjectChar"/>
    <w:uiPriority w:val="99"/>
    <w:semiHidden/>
    <w:unhideWhenUsed/>
    <w:rsid w:val="00253185"/>
    <w:rPr>
      <w:b/>
      <w:bCs/>
    </w:rPr>
  </w:style>
  <w:style w:type="character" w:customStyle="1" w:styleId="CommentSubjectChar">
    <w:name w:val="Comment Subject Char"/>
    <w:basedOn w:val="CommentTextChar"/>
    <w:link w:val="CommentSubject"/>
    <w:uiPriority w:val="99"/>
    <w:semiHidden/>
    <w:rsid w:val="00253185"/>
    <w:rPr>
      <w:b/>
      <w:bCs/>
      <w:sz w:val="20"/>
      <w:szCs w:val="20"/>
    </w:rPr>
  </w:style>
  <w:style w:type="character" w:customStyle="1" w:styleId="Heading1Char">
    <w:name w:val="Heading 1 Char"/>
    <w:basedOn w:val="DefaultParagraphFont"/>
    <w:link w:val="Heading1"/>
    <w:uiPriority w:val="9"/>
    <w:rsid w:val="00561C57"/>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61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1C5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1C5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61C5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61C5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61C5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61C5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61C5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61C57"/>
    <w:pPr>
      <w:spacing w:line="240" w:lineRule="auto"/>
    </w:pPr>
    <w:rPr>
      <w:b/>
      <w:bCs/>
      <w:smallCaps/>
      <w:color w:val="44546A" w:themeColor="text2"/>
    </w:rPr>
  </w:style>
  <w:style w:type="paragraph" w:styleId="Title">
    <w:name w:val="Title"/>
    <w:basedOn w:val="Normal"/>
    <w:next w:val="Normal"/>
    <w:link w:val="TitleChar"/>
    <w:uiPriority w:val="10"/>
    <w:qFormat/>
    <w:rsid w:val="00561C5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1C5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61C5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61C5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61C57"/>
    <w:rPr>
      <w:b/>
      <w:bCs/>
    </w:rPr>
  </w:style>
  <w:style w:type="character" w:styleId="Emphasis">
    <w:name w:val="Emphasis"/>
    <w:basedOn w:val="DefaultParagraphFont"/>
    <w:uiPriority w:val="20"/>
    <w:qFormat/>
    <w:rsid w:val="00561C57"/>
    <w:rPr>
      <w:i/>
      <w:iCs/>
    </w:rPr>
  </w:style>
  <w:style w:type="paragraph" w:styleId="NoSpacing">
    <w:name w:val="No Spacing"/>
    <w:uiPriority w:val="1"/>
    <w:qFormat/>
    <w:rsid w:val="00561C57"/>
    <w:pPr>
      <w:spacing w:after="0" w:line="240" w:lineRule="auto"/>
    </w:pPr>
  </w:style>
  <w:style w:type="paragraph" w:styleId="Quote">
    <w:name w:val="Quote"/>
    <w:basedOn w:val="Normal"/>
    <w:next w:val="Normal"/>
    <w:link w:val="QuoteChar"/>
    <w:uiPriority w:val="29"/>
    <w:qFormat/>
    <w:rsid w:val="00561C5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61C57"/>
    <w:rPr>
      <w:color w:val="44546A" w:themeColor="text2"/>
      <w:sz w:val="24"/>
      <w:szCs w:val="24"/>
    </w:rPr>
  </w:style>
  <w:style w:type="paragraph" w:styleId="IntenseQuote">
    <w:name w:val="Intense Quote"/>
    <w:basedOn w:val="Normal"/>
    <w:next w:val="Normal"/>
    <w:link w:val="IntenseQuoteChar"/>
    <w:uiPriority w:val="30"/>
    <w:qFormat/>
    <w:rsid w:val="00561C5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1C5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1C57"/>
    <w:rPr>
      <w:i/>
      <w:iCs/>
      <w:color w:val="595959" w:themeColor="text1" w:themeTint="A6"/>
    </w:rPr>
  </w:style>
  <w:style w:type="character" w:styleId="IntenseEmphasis">
    <w:name w:val="Intense Emphasis"/>
    <w:basedOn w:val="DefaultParagraphFont"/>
    <w:uiPriority w:val="21"/>
    <w:qFormat/>
    <w:rsid w:val="00561C57"/>
    <w:rPr>
      <w:b/>
      <w:bCs/>
      <w:i/>
      <w:iCs/>
    </w:rPr>
  </w:style>
  <w:style w:type="character" w:styleId="SubtleReference">
    <w:name w:val="Subtle Reference"/>
    <w:basedOn w:val="DefaultParagraphFont"/>
    <w:uiPriority w:val="31"/>
    <w:qFormat/>
    <w:rsid w:val="00561C5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1C57"/>
    <w:rPr>
      <w:b/>
      <w:bCs/>
      <w:smallCaps/>
      <w:color w:val="44546A" w:themeColor="text2"/>
      <w:u w:val="single"/>
    </w:rPr>
  </w:style>
  <w:style w:type="character" w:styleId="BookTitle">
    <w:name w:val="Book Title"/>
    <w:basedOn w:val="DefaultParagraphFont"/>
    <w:uiPriority w:val="33"/>
    <w:qFormat/>
    <w:rsid w:val="00561C57"/>
    <w:rPr>
      <w:b/>
      <w:bCs/>
      <w:smallCaps/>
      <w:spacing w:val="10"/>
    </w:rPr>
  </w:style>
  <w:style w:type="paragraph" w:styleId="TOCHeading">
    <w:name w:val="TOC Heading"/>
    <w:basedOn w:val="Heading1"/>
    <w:next w:val="Normal"/>
    <w:uiPriority w:val="39"/>
    <w:semiHidden/>
    <w:unhideWhenUsed/>
    <w:qFormat/>
    <w:rsid w:val="00561C57"/>
    <w:pPr>
      <w:outlineLvl w:val="9"/>
    </w:pPr>
  </w:style>
  <w:style w:type="paragraph" w:styleId="BalloonText">
    <w:name w:val="Balloon Text"/>
    <w:basedOn w:val="Normal"/>
    <w:link w:val="BalloonTextChar"/>
    <w:uiPriority w:val="99"/>
    <w:semiHidden/>
    <w:unhideWhenUsed/>
    <w:rsid w:val="00157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B5"/>
    <w:rPr>
      <w:rFonts w:ascii="Segoe UI" w:hAnsi="Segoe UI" w:cs="Segoe UI"/>
      <w:sz w:val="18"/>
      <w:szCs w:val="18"/>
    </w:rPr>
  </w:style>
  <w:style w:type="paragraph" w:styleId="Revision">
    <w:name w:val="Revision"/>
    <w:hidden/>
    <w:uiPriority w:val="99"/>
    <w:semiHidden/>
    <w:rsid w:val="004E6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98093">
      <w:bodyDiv w:val="1"/>
      <w:marLeft w:val="0"/>
      <w:marRight w:val="0"/>
      <w:marTop w:val="0"/>
      <w:marBottom w:val="0"/>
      <w:divBdr>
        <w:top w:val="none" w:sz="0" w:space="0" w:color="auto"/>
        <w:left w:val="none" w:sz="0" w:space="0" w:color="auto"/>
        <w:bottom w:val="none" w:sz="0" w:space="0" w:color="auto"/>
        <w:right w:val="none" w:sz="0" w:space="0" w:color="auto"/>
      </w:divBdr>
    </w:div>
    <w:div w:id="287854863">
      <w:bodyDiv w:val="1"/>
      <w:marLeft w:val="0"/>
      <w:marRight w:val="0"/>
      <w:marTop w:val="0"/>
      <w:marBottom w:val="0"/>
      <w:divBdr>
        <w:top w:val="none" w:sz="0" w:space="0" w:color="auto"/>
        <w:left w:val="none" w:sz="0" w:space="0" w:color="auto"/>
        <w:bottom w:val="none" w:sz="0" w:space="0" w:color="auto"/>
        <w:right w:val="none" w:sz="0" w:space="0" w:color="auto"/>
      </w:divBdr>
    </w:div>
    <w:div w:id="418792088">
      <w:bodyDiv w:val="1"/>
      <w:marLeft w:val="0"/>
      <w:marRight w:val="0"/>
      <w:marTop w:val="0"/>
      <w:marBottom w:val="0"/>
      <w:divBdr>
        <w:top w:val="none" w:sz="0" w:space="0" w:color="auto"/>
        <w:left w:val="none" w:sz="0" w:space="0" w:color="auto"/>
        <w:bottom w:val="none" w:sz="0" w:space="0" w:color="auto"/>
        <w:right w:val="none" w:sz="0" w:space="0" w:color="auto"/>
      </w:divBdr>
    </w:div>
    <w:div w:id="454643564">
      <w:bodyDiv w:val="1"/>
      <w:marLeft w:val="0"/>
      <w:marRight w:val="0"/>
      <w:marTop w:val="0"/>
      <w:marBottom w:val="0"/>
      <w:divBdr>
        <w:top w:val="none" w:sz="0" w:space="0" w:color="auto"/>
        <w:left w:val="none" w:sz="0" w:space="0" w:color="auto"/>
        <w:bottom w:val="none" w:sz="0" w:space="0" w:color="auto"/>
        <w:right w:val="none" w:sz="0" w:space="0" w:color="auto"/>
      </w:divBdr>
    </w:div>
    <w:div w:id="461197122">
      <w:bodyDiv w:val="1"/>
      <w:marLeft w:val="0"/>
      <w:marRight w:val="0"/>
      <w:marTop w:val="0"/>
      <w:marBottom w:val="0"/>
      <w:divBdr>
        <w:top w:val="none" w:sz="0" w:space="0" w:color="auto"/>
        <w:left w:val="none" w:sz="0" w:space="0" w:color="auto"/>
        <w:bottom w:val="none" w:sz="0" w:space="0" w:color="auto"/>
        <w:right w:val="none" w:sz="0" w:space="0" w:color="auto"/>
      </w:divBdr>
    </w:div>
    <w:div w:id="485364446">
      <w:bodyDiv w:val="1"/>
      <w:marLeft w:val="0"/>
      <w:marRight w:val="0"/>
      <w:marTop w:val="0"/>
      <w:marBottom w:val="0"/>
      <w:divBdr>
        <w:top w:val="none" w:sz="0" w:space="0" w:color="auto"/>
        <w:left w:val="none" w:sz="0" w:space="0" w:color="auto"/>
        <w:bottom w:val="none" w:sz="0" w:space="0" w:color="auto"/>
        <w:right w:val="none" w:sz="0" w:space="0" w:color="auto"/>
      </w:divBdr>
    </w:div>
    <w:div w:id="512376828">
      <w:bodyDiv w:val="1"/>
      <w:marLeft w:val="0"/>
      <w:marRight w:val="0"/>
      <w:marTop w:val="0"/>
      <w:marBottom w:val="0"/>
      <w:divBdr>
        <w:top w:val="none" w:sz="0" w:space="0" w:color="auto"/>
        <w:left w:val="none" w:sz="0" w:space="0" w:color="auto"/>
        <w:bottom w:val="none" w:sz="0" w:space="0" w:color="auto"/>
        <w:right w:val="none" w:sz="0" w:space="0" w:color="auto"/>
      </w:divBdr>
    </w:div>
    <w:div w:id="517893765">
      <w:bodyDiv w:val="1"/>
      <w:marLeft w:val="0"/>
      <w:marRight w:val="0"/>
      <w:marTop w:val="0"/>
      <w:marBottom w:val="0"/>
      <w:divBdr>
        <w:top w:val="none" w:sz="0" w:space="0" w:color="auto"/>
        <w:left w:val="none" w:sz="0" w:space="0" w:color="auto"/>
        <w:bottom w:val="none" w:sz="0" w:space="0" w:color="auto"/>
        <w:right w:val="none" w:sz="0" w:space="0" w:color="auto"/>
      </w:divBdr>
    </w:div>
    <w:div w:id="519587218">
      <w:bodyDiv w:val="1"/>
      <w:marLeft w:val="0"/>
      <w:marRight w:val="0"/>
      <w:marTop w:val="0"/>
      <w:marBottom w:val="0"/>
      <w:divBdr>
        <w:top w:val="none" w:sz="0" w:space="0" w:color="auto"/>
        <w:left w:val="none" w:sz="0" w:space="0" w:color="auto"/>
        <w:bottom w:val="none" w:sz="0" w:space="0" w:color="auto"/>
        <w:right w:val="none" w:sz="0" w:space="0" w:color="auto"/>
      </w:divBdr>
    </w:div>
    <w:div w:id="627245789">
      <w:bodyDiv w:val="1"/>
      <w:marLeft w:val="0"/>
      <w:marRight w:val="0"/>
      <w:marTop w:val="0"/>
      <w:marBottom w:val="0"/>
      <w:divBdr>
        <w:top w:val="none" w:sz="0" w:space="0" w:color="auto"/>
        <w:left w:val="none" w:sz="0" w:space="0" w:color="auto"/>
        <w:bottom w:val="none" w:sz="0" w:space="0" w:color="auto"/>
        <w:right w:val="none" w:sz="0" w:space="0" w:color="auto"/>
      </w:divBdr>
    </w:div>
    <w:div w:id="682318813">
      <w:bodyDiv w:val="1"/>
      <w:marLeft w:val="0"/>
      <w:marRight w:val="0"/>
      <w:marTop w:val="0"/>
      <w:marBottom w:val="0"/>
      <w:divBdr>
        <w:top w:val="none" w:sz="0" w:space="0" w:color="auto"/>
        <w:left w:val="none" w:sz="0" w:space="0" w:color="auto"/>
        <w:bottom w:val="none" w:sz="0" w:space="0" w:color="auto"/>
        <w:right w:val="none" w:sz="0" w:space="0" w:color="auto"/>
      </w:divBdr>
    </w:div>
    <w:div w:id="705914179">
      <w:bodyDiv w:val="1"/>
      <w:marLeft w:val="0"/>
      <w:marRight w:val="0"/>
      <w:marTop w:val="0"/>
      <w:marBottom w:val="0"/>
      <w:divBdr>
        <w:top w:val="none" w:sz="0" w:space="0" w:color="auto"/>
        <w:left w:val="none" w:sz="0" w:space="0" w:color="auto"/>
        <w:bottom w:val="none" w:sz="0" w:space="0" w:color="auto"/>
        <w:right w:val="none" w:sz="0" w:space="0" w:color="auto"/>
      </w:divBdr>
    </w:div>
    <w:div w:id="885800345">
      <w:bodyDiv w:val="1"/>
      <w:marLeft w:val="0"/>
      <w:marRight w:val="0"/>
      <w:marTop w:val="0"/>
      <w:marBottom w:val="0"/>
      <w:divBdr>
        <w:top w:val="none" w:sz="0" w:space="0" w:color="auto"/>
        <w:left w:val="none" w:sz="0" w:space="0" w:color="auto"/>
        <w:bottom w:val="none" w:sz="0" w:space="0" w:color="auto"/>
        <w:right w:val="none" w:sz="0" w:space="0" w:color="auto"/>
      </w:divBdr>
    </w:div>
    <w:div w:id="940456058">
      <w:bodyDiv w:val="1"/>
      <w:marLeft w:val="0"/>
      <w:marRight w:val="0"/>
      <w:marTop w:val="0"/>
      <w:marBottom w:val="0"/>
      <w:divBdr>
        <w:top w:val="none" w:sz="0" w:space="0" w:color="auto"/>
        <w:left w:val="none" w:sz="0" w:space="0" w:color="auto"/>
        <w:bottom w:val="none" w:sz="0" w:space="0" w:color="auto"/>
        <w:right w:val="none" w:sz="0" w:space="0" w:color="auto"/>
      </w:divBdr>
    </w:div>
    <w:div w:id="965431450">
      <w:bodyDiv w:val="1"/>
      <w:marLeft w:val="0"/>
      <w:marRight w:val="0"/>
      <w:marTop w:val="0"/>
      <w:marBottom w:val="0"/>
      <w:divBdr>
        <w:top w:val="none" w:sz="0" w:space="0" w:color="auto"/>
        <w:left w:val="none" w:sz="0" w:space="0" w:color="auto"/>
        <w:bottom w:val="none" w:sz="0" w:space="0" w:color="auto"/>
        <w:right w:val="none" w:sz="0" w:space="0" w:color="auto"/>
      </w:divBdr>
    </w:div>
    <w:div w:id="976640409">
      <w:bodyDiv w:val="1"/>
      <w:marLeft w:val="0"/>
      <w:marRight w:val="0"/>
      <w:marTop w:val="0"/>
      <w:marBottom w:val="0"/>
      <w:divBdr>
        <w:top w:val="none" w:sz="0" w:space="0" w:color="auto"/>
        <w:left w:val="none" w:sz="0" w:space="0" w:color="auto"/>
        <w:bottom w:val="none" w:sz="0" w:space="0" w:color="auto"/>
        <w:right w:val="none" w:sz="0" w:space="0" w:color="auto"/>
      </w:divBdr>
    </w:div>
    <w:div w:id="1206673178">
      <w:bodyDiv w:val="1"/>
      <w:marLeft w:val="0"/>
      <w:marRight w:val="0"/>
      <w:marTop w:val="0"/>
      <w:marBottom w:val="0"/>
      <w:divBdr>
        <w:top w:val="none" w:sz="0" w:space="0" w:color="auto"/>
        <w:left w:val="none" w:sz="0" w:space="0" w:color="auto"/>
        <w:bottom w:val="none" w:sz="0" w:space="0" w:color="auto"/>
        <w:right w:val="none" w:sz="0" w:space="0" w:color="auto"/>
      </w:divBdr>
    </w:div>
    <w:div w:id="1348404370">
      <w:bodyDiv w:val="1"/>
      <w:marLeft w:val="0"/>
      <w:marRight w:val="0"/>
      <w:marTop w:val="0"/>
      <w:marBottom w:val="0"/>
      <w:divBdr>
        <w:top w:val="none" w:sz="0" w:space="0" w:color="auto"/>
        <w:left w:val="none" w:sz="0" w:space="0" w:color="auto"/>
        <w:bottom w:val="none" w:sz="0" w:space="0" w:color="auto"/>
        <w:right w:val="none" w:sz="0" w:space="0" w:color="auto"/>
      </w:divBdr>
    </w:div>
    <w:div w:id="1364015623">
      <w:bodyDiv w:val="1"/>
      <w:marLeft w:val="0"/>
      <w:marRight w:val="0"/>
      <w:marTop w:val="0"/>
      <w:marBottom w:val="0"/>
      <w:divBdr>
        <w:top w:val="none" w:sz="0" w:space="0" w:color="auto"/>
        <w:left w:val="none" w:sz="0" w:space="0" w:color="auto"/>
        <w:bottom w:val="none" w:sz="0" w:space="0" w:color="auto"/>
        <w:right w:val="none" w:sz="0" w:space="0" w:color="auto"/>
      </w:divBdr>
    </w:div>
    <w:div w:id="1369718497">
      <w:bodyDiv w:val="1"/>
      <w:marLeft w:val="0"/>
      <w:marRight w:val="0"/>
      <w:marTop w:val="0"/>
      <w:marBottom w:val="0"/>
      <w:divBdr>
        <w:top w:val="none" w:sz="0" w:space="0" w:color="auto"/>
        <w:left w:val="none" w:sz="0" w:space="0" w:color="auto"/>
        <w:bottom w:val="none" w:sz="0" w:space="0" w:color="auto"/>
        <w:right w:val="none" w:sz="0" w:space="0" w:color="auto"/>
      </w:divBdr>
    </w:div>
    <w:div w:id="1873491824">
      <w:bodyDiv w:val="1"/>
      <w:marLeft w:val="0"/>
      <w:marRight w:val="0"/>
      <w:marTop w:val="0"/>
      <w:marBottom w:val="0"/>
      <w:divBdr>
        <w:top w:val="none" w:sz="0" w:space="0" w:color="auto"/>
        <w:left w:val="none" w:sz="0" w:space="0" w:color="auto"/>
        <w:bottom w:val="none" w:sz="0" w:space="0" w:color="auto"/>
        <w:right w:val="none" w:sz="0" w:space="0" w:color="auto"/>
      </w:divBdr>
    </w:div>
    <w:div w:id="1903900870">
      <w:bodyDiv w:val="1"/>
      <w:marLeft w:val="0"/>
      <w:marRight w:val="0"/>
      <w:marTop w:val="0"/>
      <w:marBottom w:val="0"/>
      <w:divBdr>
        <w:top w:val="none" w:sz="0" w:space="0" w:color="auto"/>
        <w:left w:val="none" w:sz="0" w:space="0" w:color="auto"/>
        <w:bottom w:val="none" w:sz="0" w:space="0" w:color="auto"/>
        <w:right w:val="none" w:sz="0" w:space="0" w:color="auto"/>
      </w:divBdr>
    </w:div>
    <w:div w:id="2073650951">
      <w:bodyDiv w:val="1"/>
      <w:marLeft w:val="0"/>
      <w:marRight w:val="0"/>
      <w:marTop w:val="0"/>
      <w:marBottom w:val="0"/>
      <w:divBdr>
        <w:top w:val="none" w:sz="0" w:space="0" w:color="auto"/>
        <w:left w:val="none" w:sz="0" w:space="0" w:color="auto"/>
        <w:bottom w:val="none" w:sz="0" w:space="0" w:color="auto"/>
        <w:right w:val="none" w:sz="0" w:space="0" w:color="auto"/>
      </w:divBdr>
    </w:div>
    <w:div w:id="2096702170">
      <w:bodyDiv w:val="1"/>
      <w:marLeft w:val="0"/>
      <w:marRight w:val="0"/>
      <w:marTop w:val="0"/>
      <w:marBottom w:val="0"/>
      <w:divBdr>
        <w:top w:val="none" w:sz="0" w:space="0" w:color="auto"/>
        <w:left w:val="none" w:sz="0" w:space="0" w:color="auto"/>
        <w:bottom w:val="none" w:sz="0" w:space="0" w:color="auto"/>
        <w:right w:val="none" w:sz="0" w:space="0" w:color="auto"/>
      </w:divBdr>
    </w:div>
    <w:div w:id="2138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8433-29F2-4BCA-B6B7-A56A05DB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Hrsto</dc:creator>
  <cp:keywords/>
  <dc:description/>
  <cp:lastModifiedBy>Iva Debanić</cp:lastModifiedBy>
  <cp:revision>5</cp:revision>
  <dcterms:created xsi:type="dcterms:W3CDTF">2024-07-28T11:07:00Z</dcterms:created>
  <dcterms:modified xsi:type="dcterms:W3CDTF">2024-07-29T11:54:00Z</dcterms:modified>
</cp:coreProperties>
</file>