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4AE9" w14:textId="77777777" w:rsidR="00EF41D5" w:rsidRPr="00EF41D5" w:rsidRDefault="00EF41D5" w:rsidP="00EF41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D5">
        <w:rPr>
          <w:rFonts w:ascii="Times New Roman" w:hAnsi="Times New Roman" w:cs="Times New Roman"/>
          <w:b/>
          <w:bCs/>
          <w:sz w:val="24"/>
          <w:szCs w:val="24"/>
        </w:rPr>
        <w:t>Sažetak Računa prihoda i rashoda</w:t>
      </w:r>
    </w:p>
    <w:p w14:paraId="391AE3C7" w14:textId="5DFD9DCA" w:rsidR="006F5D34" w:rsidRDefault="00EF41D5" w:rsidP="00EF41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D5">
        <w:rPr>
          <w:rFonts w:ascii="Times New Roman" w:hAnsi="Times New Roman" w:cs="Times New Roman"/>
          <w:b/>
          <w:bCs/>
          <w:sz w:val="24"/>
          <w:szCs w:val="24"/>
        </w:rPr>
        <w:t>Sažetak Računa financiranja</w:t>
      </w:r>
    </w:p>
    <w:p w14:paraId="502868D9" w14:textId="561685E1" w:rsidR="00814756" w:rsidRDefault="006F5D34" w:rsidP="006F5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D34">
        <w:rPr>
          <w:rFonts w:ascii="Times New Roman" w:hAnsi="Times New Roman" w:cs="Times New Roman"/>
          <w:b/>
          <w:bCs/>
          <w:sz w:val="24"/>
          <w:szCs w:val="24"/>
        </w:rPr>
        <w:t>FINANCIJSKI PLAN ZA 2024. GODINU I PROJEKCIJE ZA 2025. I 2026. GODINU</w:t>
      </w:r>
    </w:p>
    <w:p w14:paraId="2D032A7A" w14:textId="77777777" w:rsidR="00EF41D5" w:rsidRDefault="00EF41D5" w:rsidP="006F5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E4CA3" w14:textId="77777777" w:rsidR="00EF41D5" w:rsidRDefault="00EF41D5" w:rsidP="006F5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18614" w14:textId="43604ADB" w:rsidR="006F5D34" w:rsidRPr="006F5D34" w:rsidRDefault="006F5D34" w:rsidP="006F5D34">
      <w:pPr>
        <w:pStyle w:val="Odlomakpopis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 DIO</w:t>
      </w:r>
    </w:p>
    <w:p w14:paraId="78FE7D57" w14:textId="7379FDB4" w:rsidR="006F5D34" w:rsidRPr="006F5D34" w:rsidRDefault="006F5D34" w:rsidP="006F5D3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F5D34">
        <w:rPr>
          <w:noProof/>
        </w:rPr>
        <w:drawing>
          <wp:inline distT="0" distB="0" distL="0" distR="0" wp14:anchorId="3FE46474" wp14:editId="3862CDC2">
            <wp:extent cx="5915025" cy="5024612"/>
            <wp:effectExtent l="0" t="0" r="0" b="5080"/>
            <wp:docPr id="109501017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05" cy="50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F86F" w14:textId="77777777" w:rsidR="00EF41D5" w:rsidRDefault="00EF41D5" w:rsidP="00E927E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FD7CE" w14:textId="77777777" w:rsidR="00EF41D5" w:rsidRDefault="00EF41D5" w:rsidP="00E927E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444FD" w14:textId="77777777" w:rsidR="00EF41D5" w:rsidRDefault="00EF41D5" w:rsidP="00E927E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FF4E6" w14:textId="77777777" w:rsidR="00EF41D5" w:rsidRDefault="00EF41D5" w:rsidP="00E927E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9C491" w14:textId="1711E17D" w:rsidR="005F62A1" w:rsidRPr="00287CFF" w:rsidRDefault="005F62A1" w:rsidP="00E927E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87C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 </w:t>
      </w:r>
      <w:r w:rsidR="00814756" w:rsidRPr="00287CFF">
        <w:rPr>
          <w:rFonts w:ascii="Times New Roman" w:hAnsi="Times New Roman" w:cs="Times New Roman"/>
          <w:b/>
          <w:bCs/>
          <w:sz w:val="24"/>
          <w:szCs w:val="24"/>
        </w:rPr>
        <w:t xml:space="preserve">RAČUN </w:t>
      </w:r>
      <w:r w:rsidRPr="00287CFF">
        <w:rPr>
          <w:rFonts w:ascii="Times New Roman" w:hAnsi="Times New Roman" w:cs="Times New Roman"/>
          <w:b/>
          <w:bCs/>
          <w:sz w:val="24"/>
          <w:szCs w:val="24"/>
        </w:rPr>
        <w:t>PRIHODA I RASHODA</w:t>
      </w:r>
    </w:p>
    <w:p w14:paraId="5280E6F2" w14:textId="4DDE0EF5" w:rsidR="00123199" w:rsidRPr="00E927EF" w:rsidRDefault="00814756" w:rsidP="00E927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62A1" w:rsidRPr="00E927EF">
        <w:rPr>
          <w:rFonts w:ascii="Times New Roman" w:hAnsi="Times New Roman" w:cs="Times New Roman"/>
          <w:sz w:val="24"/>
          <w:szCs w:val="24"/>
        </w:rPr>
        <w:t xml:space="preserve">1. </w:t>
      </w:r>
      <w:r w:rsidR="00927976" w:rsidRPr="00E927EF">
        <w:rPr>
          <w:rFonts w:ascii="Times New Roman" w:hAnsi="Times New Roman" w:cs="Times New Roman"/>
          <w:sz w:val="24"/>
          <w:szCs w:val="24"/>
        </w:rPr>
        <w:t>PRIHODI POSLOVANJA I PRIHODI OD PRODAJE NEFINANCIJSKE IMOVINE</w:t>
      </w:r>
    </w:p>
    <w:p w14:paraId="075D57CD" w14:textId="796099CE" w:rsidR="005F62A1" w:rsidRPr="00E927EF" w:rsidRDefault="001714A2" w:rsidP="001714A2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1714A2">
        <w:rPr>
          <w:noProof/>
        </w:rPr>
        <w:drawing>
          <wp:inline distT="0" distB="0" distL="0" distR="0" wp14:anchorId="4DB21A9A" wp14:editId="2089320C">
            <wp:extent cx="5943600" cy="3400425"/>
            <wp:effectExtent l="0" t="0" r="0" b="9525"/>
            <wp:docPr id="54264532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F953" w14:textId="6829E67A" w:rsidR="00927976" w:rsidRPr="00184F8A" w:rsidRDefault="00814756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27976" w:rsidRPr="00E927EF">
        <w:rPr>
          <w:rFonts w:ascii="Times New Roman" w:hAnsi="Times New Roman" w:cs="Times New Roman"/>
          <w:sz w:val="24"/>
          <w:szCs w:val="24"/>
        </w:rPr>
        <w:t>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="00927976" w:rsidRPr="00E927EF">
        <w:rPr>
          <w:rFonts w:ascii="Times New Roman" w:hAnsi="Times New Roman" w:cs="Times New Roman"/>
          <w:sz w:val="24"/>
          <w:szCs w:val="24"/>
        </w:rPr>
        <w:t xml:space="preserve"> godin</w:t>
      </w:r>
      <w:r w:rsidR="00B41889">
        <w:rPr>
          <w:rFonts w:ascii="Times New Roman" w:hAnsi="Times New Roman" w:cs="Times New Roman"/>
          <w:sz w:val="24"/>
          <w:szCs w:val="24"/>
        </w:rPr>
        <w:t>i</w:t>
      </w:r>
      <w:r w:rsidR="00927976" w:rsidRPr="00E92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41889">
        <w:rPr>
          <w:rFonts w:ascii="Times New Roman" w:hAnsi="Times New Roman" w:cs="Times New Roman"/>
          <w:sz w:val="24"/>
          <w:szCs w:val="24"/>
        </w:rPr>
        <w:t>AMAG</w:t>
      </w:r>
      <w:r>
        <w:rPr>
          <w:rFonts w:ascii="Times New Roman" w:hAnsi="Times New Roman" w:cs="Times New Roman"/>
          <w:sz w:val="24"/>
          <w:szCs w:val="24"/>
        </w:rPr>
        <w:t xml:space="preserve"> – B</w:t>
      </w:r>
      <w:r w:rsidR="00B41889">
        <w:rPr>
          <w:rFonts w:ascii="Times New Roman" w:hAnsi="Times New Roman" w:cs="Times New Roman"/>
          <w:sz w:val="24"/>
          <w:szCs w:val="24"/>
        </w:rPr>
        <w:t>ICRO</w:t>
      </w:r>
      <w:r>
        <w:rPr>
          <w:rFonts w:ascii="Times New Roman" w:hAnsi="Times New Roman" w:cs="Times New Roman"/>
          <w:sz w:val="24"/>
          <w:szCs w:val="24"/>
        </w:rPr>
        <w:t xml:space="preserve"> planira prihode u </w:t>
      </w:r>
      <w:r w:rsidR="00927976" w:rsidRPr="00E927EF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="00927976" w:rsidRPr="00E92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714A2">
        <w:rPr>
          <w:rFonts w:ascii="Times New Roman" w:hAnsi="Times New Roman" w:cs="Times New Roman"/>
          <w:sz w:val="24"/>
          <w:szCs w:val="24"/>
        </w:rPr>
        <w:t>54.140.236,00</w:t>
      </w:r>
      <w:r w:rsidR="007104DF" w:rsidRPr="00E927EF">
        <w:rPr>
          <w:rFonts w:ascii="Times New Roman" w:hAnsi="Times New Roman" w:cs="Times New Roman"/>
          <w:sz w:val="24"/>
          <w:szCs w:val="24"/>
        </w:rPr>
        <w:t xml:space="preserve"> EUR</w:t>
      </w:r>
      <w:r w:rsidR="00927976" w:rsidRPr="00E927EF">
        <w:rPr>
          <w:rFonts w:ascii="Times New Roman" w:hAnsi="Times New Roman" w:cs="Times New Roman"/>
          <w:sz w:val="24"/>
          <w:szCs w:val="24"/>
        </w:rPr>
        <w:t>. Za 2025</w:t>
      </w:r>
      <w:r w:rsidR="001714A2">
        <w:rPr>
          <w:rFonts w:ascii="Times New Roman" w:hAnsi="Times New Roman" w:cs="Times New Roman"/>
          <w:sz w:val="24"/>
          <w:szCs w:val="24"/>
        </w:rPr>
        <w:t>.</w:t>
      </w:r>
      <w:r w:rsidR="00927976" w:rsidRPr="00E927EF">
        <w:rPr>
          <w:rFonts w:ascii="Times New Roman" w:hAnsi="Times New Roman" w:cs="Times New Roman"/>
          <w:sz w:val="24"/>
          <w:szCs w:val="24"/>
        </w:rPr>
        <w:t xml:space="preserve"> godinu planirano je </w:t>
      </w:r>
      <w:r w:rsidR="007104DF" w:rsidRPr="00E927EF">
        <w:rPr>
          <w:rFonts w:ascii="Times New Roman" w:hAnsi="Times New Roman" w:cs="Times New Roman"/>
          <w:sz w:val="24"/>
          <w:szCs w:val="24"/>
        </w:rPr>
        <w:t>52.</w:t>
      </w:r>
      <w:r w:rsidR="001714A2">
        <w:rPr>
          <w:rFonts w:ascii="Times New Roman" w:hAnsi="Times New Roman" w:cs="Times New Roman"/>
          <w:sz w:val="24"/>
          <w:szCs w:val="24"/>
        </w:rPr>
        <w:t>266.062,00</w:t>
      </w:r>
      <w:r w:rsidR="007104DF" w:rsidRPr="00E927EF">
        <w:rPr>
          <w:rFonts w:ascii="Times New Roman" w:hAnsi="Times New Roman" w:cs="Times New Roman"/>
          <w:sz w:val="24"/>
          <w:szCs w:val="24"/>
        </w:rPr>
        <w:t xml:space="preserve"> EUR</w:t>
      </w:r>
      <w:r w:rsidR="00927976" w:rsidRPr="00E927EF">
        <w:rPr>
          <w:rFonts w:ascii="Times New Roman" w:hAnsi="Times New Roman" w:cs="Times New Roman"/>
          <w:sz w:val="24"/>
          <w:szCs w:val="24"/>
        </w:rPr>
        <w:t xml:space="preserve"> što je smanjenje za </w:t>
      </w:r>
      <w:r w:rsidR="00AA71B7" w:rsidRPr="00E927EF">
        <w:rPr>
          <w:rFonts w:ascii="Times New Roman" w:hAnsi="Times New Roman" w:cs="Times New Roman"/>
          <w:sz w:val="24"/>
          <w:szCs w:val="24"/>
        </w:rPr>
        <w:t>3,5</w:t>
      </w:r>
      <w:r w:rsidR="00D33AF1">
        <w:rPr>
          <w:rFonts w:ascii="Times New Roman" w:hAnsi="Times New Roman" w:cs="Times New Roman"/>
          <w:sz w:val="24"/>
          <w:szCs w:val="24"/>
        </w:rPr>
        <w:t>8</w:t>
      </w:r>
      <w:r w:rsidR="00927976" w:rsidRPr="00E927EF">
        <w:rPr>
          <w:rFonts w:ascii="Times New Roman" w:hAnsi="Times New Roman" w:cs="Times New Roman"/>
          <w:sz w:val="24"/>
          <w:szCs w:val="24"/>
        </w:rPr>
        <w:t xml:space="preserve"> % u odnosu na 2024</w:t>
      </w:r>
      <w:r w:rsidR="001714A2">
        <w:rPr>
          <w:rFonts w:ascii="Times New Roman" w:hAnsi="Times New Roman" w:cs="Times New Roman"/>
          <w:sz w:val="24"/>
          <w:szCs w:val="24"/>
        </w:rPr>
        <w:t>.</w:t>
      </w:r>
      <w:r w:rsidR="00927976" w:rsidRPr="00E927EF">
        <w:rPr>
          <w:rFonts w:ascii="Times New Roman" w:hAnsi="Times New Roman" w:cs="Times New Roman"/>
          <w:sz w:val="24"/>
          <w:szCs w:val="24"/>
        </w:rPr>
        <w:t xml:space="preserve"> godinu</w:t>
      </w:r>
      <w:r w:rsidR="00927976" w:rsidRPr="00184F8A">
        <w:rPr>
          <w:rFonts w:ascii="Times New Roman" w:hAnsi="Times New Roman" w:cs="Times New Roman"/>
          <w:sz w:val="24"/>
          <w:szCs w:val="24"/>
        </w:rPr>
        <w:t>. Smanjenje</w:t>
      </w:r>
      <w:r w:rsidR="00BF59FB" w:rsidRPr="00184F8A">
        <w:rPr>
          <w:rFonts w:ascii="Times New Roman" w:hAnsi="Times New Roman" w:cs="Times New Roman"/>
          <w:sz w:val="24"/>
          <w:szCs w:val="24"/>
        </w:rPr>
        <w:t xml:space="preserve"> se u najvećem dijelu odnosi na proračunske prihode vezane uz izvor sredstava 12 Sredstva učešća za pomoći u iznosu od gotovo 2,1 </w:t>
      </w:r>
      <w:proofErr w:type="spellStart"/>
      <w:r w:rsidR="00BF59FB" w:rsidRPr="00184F8A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BF59FB" w:rsidRPr="00184F8A">
        <w:rPr>
          <w:rFonts w:ascii="Times New Roman" w:hAnsi="Times New Roman" w:cs="Times New Roman"/>
          <w:sz w:val="24"/>
          <w:szCs w:val="24"/>
        </w:rPr>
        <w:t>. eura.</w:t>
      </w:r>
      <w:r w:rsidR="00927976" w:rsidRPr="00184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66CFB" w14:textId="11A09A0C" w:rsidR="00927976" w:rsidRPr="00E927EF" w:rsidRDefault="00927976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U 2026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godini planirano je </w:t>
      </w:r>
      <w:r w:rsidR="007104DF" w:rsidRPr="00E927EF">
        <w:rPr>
          <w:rFonts w:ascii="Times New Roman" w:hAnsi="Times New Roman" w:cs="Times New Roman"/>
          <w:sz w:val="24"/>
          <w:szCs w:val="24"/>
        </w:rPr>
        <w:t>prihoda u iznosu od 57.</w:t>
      </w:r>
      <w:r w:rsidR="001714A2">
        <w:rPr>
          <w:rFonts w:ascii="Times New Roman" w:hAnsi="Times New Roman" w:cs="Times New Roman"/>
          <w:sz w:val="24"/>
          <w:szCs w:val="24"/>
        </w:rPr>
        <w:t>966.785</w:t>
      </w:r>
      <w:r w:rsidR="007104DF" w:rsidRPr="00E927EF">
        <w:rPr>
          <w:rFonts w:ascii="Times New Roman" w:hAnsi="Times New Roman" w:cs="Times New Roman"/>
          <w:sz w:val="24"/>
          <w:szCs w:val="24"/>
        </w:rPr>
        <w:t>,00 EUR</w:t>
      </w:r>
      <w:r w:rsidRPr="00E927EF">
        <w:rPr>
          <w:rFonts w:ascii="Times New Roman" w:hAnsi="Times New Roman" w:cs="Times New Roman"/>
          <w:sz w:val="24"/>
          <w:szCs w:val="24"/>
        </w:rPr>
        <w:t>, što je povećanje u odnosu na planiranu 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="0076286F" w:rsidRPr="00E927EF">
        <w:rPr>
          <w:rFonts w:ascii="Times New Roman" w:hAnsi="Times New Roman" w:cs="Times New Roman"/>
          <w:sz w:val="24"/>
          <w:szCs w:val="24"/>
        </w:rPr>
        <w:t xml:space="preserve"> za 7,0</w:t>
      </w:r>
      <w:r w:rsidR="00D33AF1">
        <w:rPr>
          <w:rFonts w:ascii="Times New Roman" w:hAnsi="Times New Roman" w:cs="Times New Roman"/>
          <w:sz w:val="24"/>
          <w:szCs w:val="24"/>
        </w:rPr>
        <w:t>7</w:t>
      </w:r>
      <w:r w:rsidR="0076286F" w:rsidRPr="00E927EF">
        <w:rPr>
          <w:rFonts w:ascii="Times New Roman" w:hAnsi="Times New Roman" w:cs="Times New Roman"/>
          <w:sz w:val="24"/>
          <w:szCs w:val="24"/>
        </w:rPr>
        <w:t>%</w:t>
      </w:r>
      <w:r w:rsidRPr="00E927EF">
        <w:rPr>
          <w:rFonts w:ascii="Times New Roman" w:hAnsi="Times New Roman" w:cs="Times New Roman"/>
          <w:sz w:val="24"/>
          <w:szCs w:val="24"/>
        </w:rPr>
        <w:t>, te</w:t>
      </w:r>
      <w:r w:rsidR="0076286F" w:rsidRPr="00E927EF">
        <w:rPr>
          <w:rFonts w:ascii="Times New Roman" w:hAnsi="Times New Roman" w:cs="Times New Roman"/>
          <w:sz w:val="24"/>
          <w:szCs w:val="24"/>
        </w:rPr>
        <w:t xml:space="preserve"> povećanje u odnosu</w:t>
      </w:r>
      <w:r w:rsidRPr="00E927EF">
        <w:rPr>
          <w:rFonts w:ascii="Times New Roman" w:hAnsi="Times New Roman" w:cs="Times New Roman"/>
          <w:sz w:val="24"/>
          <w:szCs w:val="24"/>
        </w:rPr>
        <w:t xml:space="preserve"> na 2025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godinu</w:t>
      </w:r>
      <w:r w:rsidR="0076286F" w:rsidRPr="00E927EF">
        <w:rPr>
          <w:rFonts w:ascii="Times New Roman" w:hAnsi="Times New Roman" w:cs="Times New Roman"/>
          <w:sz w:val="24"/>
          <w:szCs w:val="24"/>
        </w:rPr>
        <w:t xml:space="preserve"> za 1</w:t>
      </w:r>
      <w:r w:rsidR="00D33AF1">
        <w:rPr>
          <w:rFonts w:ascii="Times New Roman" w:hAnsi="Times New Roman" w:cs="Times New Roman"/>
          <w:sz w:val="24"/>
          <w:szCs w:val="24"/>
        </w:rPr>
        <w:t>0,91</w:t>
      </w:r>
      <w:r w:rsidR="0076286F" w:rsidRPr="00E927EF">
        <w:rPr>
          <w:rFonts w:ascii="Times New Roman" w:hAnsi="Times New Roman" w:cs="Times New Roman"/>
          <w:sz w:val="24"/>
          <w:szCs w:val="24"/>
        </w:rPr>
        <w:t>%</w:t>
      </w:r>
      <w:r w:rsidRPr="00E927EF">
        <w:rPr>
          <w:rFonts w:ascii="Times New Roman" w:hAnsi="Times New Roman" w:cs="Times New Roman"/>
          <w:sz w:val="24"/>
          <w:szCs w:val="24"/>
        </w:rPr>
        <w:t>.</w:t>
      </w:r>
    </w:p>
    <w:p w14:paraId="6F26D335" w14:textId="4DEA91C8" w:rsidR="00927976" w:rsidRPr="00E927EF" w:rsidRDefault="00927976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 xml:space="preserve">U strukturi ukupnih prihoda za 2024. najveći udio čine prihodi iz skupine </w:t>
      </w:r>
      <w:r w:rsidR="007104DF" w:rsidRPr="00E927EF">
        <w:rPr>
          <w:rFonts w:ascii="Times New Roman" w:hAnsi="Times New Roman" w:cs="Times New Roman"/>
          <w:sz w:val="24"/>
          <w:szCs w:val="24"/>
        </w:rPr>
        <w:t>63</w:t>
      </w:r>
      <w:r w:rsidRPr="00E927EF">
        <w:rPr>
          <w:rFonts w:ascii="Times New Roman" w:hAnsi="Times New Roman" w:cs="Times New Roman"/>
          <w:sz w:val="24"/>
          <w:szCs w:val="24"/>
        </w:rPr>
        <w:t xml:space="preserve"> P</w:t>
      </w:r>
      <w:r w:rsidR="00DB260D" w:rsidRPr="00E927EF">
        <w:rPr>
          <w:rFonts w:ascii="Times New Roman" w:hAnsi="Times New Roman" w:cs="Times New Roman"/>
          <w:sz w:val="24"/>
          <w:szCs w:val="24"/>
        </w:rPr>
        <w:t xml:space="preserve">omoći iz inozemstva (darovnice) i od subjekata unutar općeg proračuna </w:t>
      </w:r>
      <w:r w:rsidR="001C0C63" w:rsidRPr="00E927EF">
        <w:rPr>
          <w:rFonts w:ascii="Times New Roman" w:hAnsi="Times New Roman" w:cs="Times New Roman"/>
          <w:sz w:val="24"/>
          <w:szCs w:val="24"/>
        </w:rPr>
        <w:t xml:space="preserve">u iznosu </w:t>
      </w:r>
      <w:r w:rsidRPr="00E927EF">
        <w:rPr>
          <w:rFonts w:ascii="Times New Roman" w:hAnsi="Times New Roman" w:cs="Times New Roman"/>
          <w:sz w:val="24"/>
          <w:szCs w:val="24"/>
        </w:rPr>
        <w:t>od</w:t>
      </w:r>
      <w:r w:rsidR="00DB260D" w:rsidRPr="00E927EF">
        <w:rPr>
          <w:rFonts w:ascii="Times New Roman" w:hAnsi="Times New Roman" w:cs="Times New Roman"/>
          <w:sz w:val="24"/>
          <w:szCs w:val="24"/>
        </w:rPr>
        <w:t xml:space="preserve"> </w:t>
      </w:r>
      <w:r w:rsidR="001C0C63" w:rsidRPr="00E927EF">
        <w:rPr>
          <w:rFonts w:ascii="Times New Roman" w:hAnsi="Times New Roman" w:cs="Times New Roman"/>
          <w:sz w:val="24"/>
          <w:szCs w:val="24"/>
        </w:rPr>
        <w:t>27.426.047,00 EUR</w:t>
      </w:r>
      <w:r w:rsidR="00F84D0E">
        <w:rPr>
          <w:rFonts w:ascii="Times New Roman" w:hAnsi="Times New Roman" w:cs="Times New Roman"/>
          <w:sz w:val="24"/>
          <w:szCs w:val="24"/>
        </w:rPr>
        <w:t>. F</w:t>
      </w:r>
      <w:r w:rsidRPr="00E927EF">
        <w:rPr>
          <w:rFonts w:ascii="Times New Roman" w:hAnsi="Times New Roman" w:cs="Times New Roman"/>
          <w:sz w:val="24"/>
          <w:szCs w:val="24"/>
        </w:rPr>
        <w:t xml:space="preserve">inancirani </w:t>
      </w:r>
      <w:r w:rsidR="001C0C63" w:rsidRPr="00E927EF">
        <w:rPr>
          <w:rFonts w:ascii="Times New Roman" w:hAnsi="Times New Roman" w:cs="Times New Roman"/>
          <w:sz w:val="24"/>
          <w:szCs w:val="24"/>
        </w:rPr>
        <w:t xml:space="preserve">su najvećim dijelom </w:t>
      </w:r>
      <w:r w:rsidRPr="00E927EF">
        <w:rPr>
          <w:rFonts w:ascii="Times New Roman" w:hAnsi="Times New Roman" w:cs="Times New Roman"/>
          <w:sz w:val="24"/>
          <w:szCs w:val="24"/>
        </w:rPr>
        <w:t>iz i</w:t>
      </w:r>
      <w:r w:rsidR="001C0C63" w:rsidRPr="00E927EF">
        <w:rPr>
          <w:rFonts w:ascii="Times New Roman" w:hAnsi="Times New Roman" w:cs="Times New Roman"/>
          <w:sz w:val="24"/>
          <w:szCs w:val="24"/>
        </w:rPr>
        <w:t>z</w:t>
      </w:r>
      <w:r w:rsidRPr="00E927EF">
        <w:rPr>
          <w:rFonts w:ascii="Times New Roman" w:hAnsi="Times New Roman" w:cs="Times New Roman"/>
          <w:sz w:val="24"/>
          <w:szCs w:val="24"/>
        </w:rPr>
        <w:t xml:space="preserve">vora </w:t>
      </w:r>
      <w:r w:rsidR="001C0C63" w:rsidRPr="00E927EF">
        <w:rPr>
          <w:rFonts w:ascii="Times New Roman" w:hAnsi="Times New Roman" w:cs="Times New Roman"/>
          <w:sz w:val="24"/>
          <w:szCs w:val="24"/>
        </w:rPr>
        <w:t xml:space="preserve">56 Fondovi EU u iznosu  </w:t>
      </w:r>
      <w:r w:rsidR="00E927EF">
        <w:rPr>
          <w:rFonts w:ascii="Times New Roman" w:hAnsi="Times New Roman" w:cs="Times New Roman"/>
          <w:sz w:val="24"/>
          <w:szCs w:val="24"/>
        </w:rPr>
        <w:t xml:space="preserve">od </w:t>
      </w:r>
      <w:r w:rsidR="001C0C63" w:rsidRPr="00E927EF">
        <w:rPr>
          <w:rFonts w:ascii="Times New Roman" w:hAnsi="Times New Roman" w:cs="Times New Roman"/>
          <w:sz w:val="24"/>
          <w:szCs w:val="24"/>
        </w:rPr>
        <w:t xml:space="preserve">18.758.455,00 </w:t>
      </w:r>
      <w:r w:rsidR="00E927EF">
        <w:rPr>
          <w:rFonts w:ascii="Times New Roman" w:hAnsi="Times New Roman" w:cs="Times New Roman"/>
          <w:sz w:val="24"/>
          <w:szCs w:val="24"/>
        </w:rPr>
        <w:t xml:space="preserve">EUR, </w:t>
      </w:r>
      <w:r w:rsidR="001C0C63" w:rsidRPr="00E927EF">
        <w:rPr>
          <w:rFonts w:ascii="Times New Roman" w:hAnsi="Times New Roman" w:cs="Times New Roman"/>
          <w:sz w:val="24"/>
          <w:szCs w:val="24"/>
        </w:rPr>
        <w:t>56 Fondovi EU, zatim iz izvora</w:t>
      </w:r>
      <w:r w:rsidR="00AD5A24" w:rsidRPr="00E927EF">
        <w:rPr>
          <w:rFonts w:ascii="Times New Roman" w:hAnsi="Times New Roman" w:cs="Times New Roman"/>
          <w:sz w:val="24"/>
          <w:szCs w:val="24"/>
        </w:rPr>
        <w:t xml:space="preserve"> 58 Instrumenti EU nove generacije, </w:t>
      </w:r>
      <w:r w:rsidR="001C0C63" w:rsidRPr="00E927EF">
        <w:rPr>
          <w:rFonts w:ascii="Times New Roman" w:hAnsi="Times New Roman" w:cs="Times New Roman"/>
          <w:sz w:val="24"/>
          <w:szCs w:val="24"/>
        </w:rPr>
        <w:t xml:space="preserve">51 Pomoći EU, </w:t>
      </w:r>
      <w:r w:rsidR="00AD5A24" w:rsidRPr="00E927EF">
        <w:rPr>
          <w:rFonts w:ascii="Times New Roman" w:hAnsi="Times New Roman" w:cs="Times New Roman"/>
          <w:sz w:val="24"/>
          <w:szCs w:val="24"/>
        </w:rPr>
        <w:t xml:space="preserve">te iz izvora </w:t>
      </w:r>
      <w:r w:rsidR="001C0C63" w:rsidRPr="00E927EF">
        <w:rPr>
          <w:rFonts w:ascii="Times New Roman" w:hAnsi="Times New Roman" w:cs="Times New Roman"/>
          <w:sz w:val="24"/>
          <w:szCs w:val="24"/>
        </w:rPr>
        <w:t>57 Ostali programi u EU</w:t>
      </w:r>
      <w:r w:rsidRPr="00E927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0F937" w14:textId="6AF04C70" w:rsidR="005F62A1" w:rsidRDefault="00C2763E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Za 2026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="00814756">
        <w:rPr>
          <w:rFonts w:ascii="Times New Roman" w:hAnsi="Times New Roman" w:cs="Times New Roman"/>
          <w:sz w:val="24"/>
          <w:szCs w:val="24"/>
        </w:rPr>
        <w:t xml:space="preserve"> godinu</w:t>
      </w:r>
      <w:r w:rsidRPr="00E927EF">
        <w:rPr>
          <w:rFonts w:ascii="Times New Roman" w:hAnsi="Times New Roman" w:cs="Times New Roman"/>
          <w:sz w:val="24"/>
          <w:szCs w:val="24"/>
        </w:rPr>
        <w:t xml:space="preserve"> planirano je</w:t>
      </w:r>
      <w:r w:rsidR="007104DF" w:rsidRPr="00E927EF">
        <w:rPr>
          <w:rFonts w:ascii="Times New Roman" w:hAnsi="Times New Roman" w:cs="Times New Roman"/>
          <w:sz w:val="24"/>
          <w:szCs w:val="24"/>
        </w:rPr>
        <w:t xml:space="preserve"> 57.</w:t>
      </w:r>
      <w:r w:rsidR="001714A2">
        <w:rPr>
          <w:rFonts w:ascii="Times New Roman" w:hAnsi="Times New Roman" w:cs="Times New Roman"/>
          <w:sz w:val="24"/>
          <w:szCs w:val="24"/>
        </w:rPr>
        <w:t>966.785,00</w:t>
      </w:r>
      <w:r w:rsidR="007104DF" w:rsidRPr="00E927EF">
        <w:rPr>
          <w:rFonts w:ascii="Times New Roman" w:hAnsi="Times New Roman" w:cs="Times New Roman"/>
          <w:sz w:val="24"/>
          <w:szCs w:val="24"/>
        </w:rPr>
        <w:t xml:space="preserve">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 ukupnih prihoda, od toga najveći d</w:t>
      </w:r>
      <w:r w:rsidR="0076286F" w:rsidRPr="00E927EF">
        <w:rPr>
          <w:rFonts w:ascii="Times New Roman" w:hAnsi="Times New Roman" w:cs="Times New Roman"/>
          <w:sz w:val="24"/>
          <w:szCs w:val="24"/>
        </w:rPr>
        <w:t>i</w:t>
      </w:r>
      <w:r w:rsidRPr="00E927EF">
        <w:rPr>
          <w:rFonts w:ascii="Times New Roman" w:hAnsi="Times New Roman" w:cs="Times New Roman"/>
          <w:sz w:val="24"/>
          <w:szCs w:val="24"/>
        </w:rPr>
        <w:t xml:space="preserve">o od </w:t>
      </w:r>
      <w:r w:rsidR="0076286F" w:rsidRPr="00E927EF">
        <w:rPr>
          <w:rFonts w:ascii="Times New Roman" w:hAnsi="Times New Roman" w:cs="Times New Roman"/>
          <w:sz w:val="24"/>
          <w:szCs w:val="24"/>
        </w:rPr>
        <w:t>5</w:t>
      </w:r>
      <w:r w:rsidR="00D33AF1">
        <w:rPr>
          <w:rFonts w:ascii="Times New Roman" w:hAnsi="Times New Roman" w:cs="Times New Roman"/>
          <w:sz w:val="24"/>
          <w:szCs w:val="24"/>
        </w:rPr>
        <w:t>3,98</w:t>
      </w:r>
      <w:r w:rsidRPr="00E927EF">
        <w:rPr>
          <w:rFonts w:ascii="Times New Roman" w:hAnsi="Times New Roman" w:cs="Times New Roman"/>
          <w:sz w:val="24"/>
          <w:szCs w:val="24"/>
        </w:rPr>
        <w:t xml:space="preserve">% čine prihodi </w:t>
      </w:r>
      <w:r w:rsidR="0076286F" w:rsidRPr="00E927EF">
        <w:rPr>
          <w:rFonts w:ascii="Times New Roman" w:hAnsi="Times New Roman" w:cs="Times New Roman"/>
          <w:sz w:val="24"/>
          <w:szCs w:val="24"/>
        </w:rPr>
        <w:t>skupine 63 Pomoći iz inozemstva (darovnice) i od subjekata unutar općeg proračuna</w:t>
      </w:r>
      <w:r w:rsidRPr="00E927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B7E33" w14:textId="1504EE73" w:rsidR="00127105" w:rsidRPr="00E927EF" w:rsidRDefault="007128F9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planiranih prihoda za razdoblje 2024</w:t>
      </w:r>
      <w:r w:rsidR="00171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-2026</w:t>
      </w:r>
      <w:r w:rsidR="001714A2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zadržava dinamiku u sve tri planirane godine. Prihodi skupine 63 Pomoći iz inozemstva (Pomoći EU, Fondovi EU, Instrumenti EU nove generacije te Ostali programi u EU) imaju udio od 50</w:t>
      </w:r>
      <w:r w:rsidR="003B7D0E">
        <w:rPr>
          <w:rFonts w:ascii="Times New Roman" w:hAnsi="Times New Roman" w:cs="Times New Roman"/>
          <w:sz w:val="24"/>
          <w:szCs w:val="24"/>
        </w:rPr>
        <w:t>,</w:t>
      </w:r>
      <w:r w:rsidR="00D33AF1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%</w:t>
      </w:r>
      <w:r w:rsidR="003B7D0E">
        <w:rPr>
          <w:rFonts w:ascii="Times New Roman" w:hAnsi="Times New Roman" w:cs="Times New Roman"/>
          <w:sz w:val="24"/>
          <w:szCs w:val="24"/>
        </w:rPr>
        <w:t xml:space="preserve"> u 2024</w:t>
      </w:r>
      <w:r w:rsidR="00814756">
        <w:rPr>
          <w:rFonts w:ascii="Times New Roman" w:hAnsi="Times New Roman" w:cs="Times New Roman"/>
          <w:sz w:val="24"/>
          <w:szCs w:val="24"/>
        </w:rPr>
        <w:t>. godini</w:t>
      </w:r>
      <w:r w:rsidR="003B7D0E">
        <w:rPr>
          <w:rFonts w:ascii="Times New Roman" w:hAnsi="Times New Roman" w:cs="Times New Roman"/>
          <w:sz w:val="24"/>
          <w:szCs w:val="24"/>
        </w:rPr>
        <w:t xml:space="preserve">, te gotovo </w:t>
      </w:r>
      <w:r w:rsidR="003B7D0E">
        <w:rPr>
          <w:rFonts w:ascii="Times New Roman" w:hAnsi="Times New Roman" w:cs="Times New Roman"/>
          <w:sz w:val="24"/>
          <w:szCs w:val="24"/>
        </w:rPr>
        <w:lastRenderedPageBreak/>
        <w:t>identični udio od 54% u 2025. i 2026</w:t>
      </w:r>
      <w:r w:rsidR="00814756">
        <w:rPr>
          <w:rFonts w:ascii="Times New Roman" w:hAnsi="Times New Roman" w:cs="Times New Roman"/>
          <w:sz w:val="24"/>
          <w:szCs w:val="24"/>
        </w:rPr>
        <w:t>.</w:t>
      </w:r>
      <w:r w:rsidR="003B7D0E">
        <w:rPr>
          <w:rFonts w:ascii="Times New Roman" w:hAnsi="Times New Roman" w:cs="Times New Roman"/>
          <w:sz w:val="24"/>
          <w:szCs w:val="24"/>
        </w:rPr>
        <w:t xml:space="preserve"> godini</w:t>
      </w:r>
      <w:r w:rsidR="00E36F72">
        <w:rPr>
          <w:rFonts w:ascii="Times New Roman" w:hAnsi="Times New Roman" w:cs="Times New Roman"/>
          <w:sz w:val="24"/>
          <w:szCs w:val="24"/>
        </w:rPr>
        <w:t xml:space="preserve">. </w:t>
      </w:r>
      <w:r w:rsidR="003B7D0E">
        <w:rPr>
          <w:rFonts w:ascii="Times New Roman" w:hAnsi="Times New Roman" w:cs="Times New Roman"/>
          <w:sz w:val="24"/>
          <w:szCs w:val="24"/>
        </w:rPr>
        <w:t xml:space="preserve">Prihodi iz proračuna čine 44,6% ukupnih prihoda </w:t>
      </w:r>
      <w:r w:rsidR="00E36F72">
        <w:rPr>
          <w:rFonts w:ascii="Times New Roman" w:hAnsi="Times New Roman" w:cs="Times New Roman"/>
          <w:sz w:val="24"/>
          <w:szCs w:val="24"/>
        </w:rPr>
        <w:t xml:space="preserve">u 2024. godini, </w:t>
      </w:r>
      <w:r w:rsidR="003B7D0E">
        <w:rPr>
          <w:rFonts w:ascii="Times New Roman" w:hAnsi="Times New Roman" w:cs="Times New Roman"/>
          <w:sz w:val="24"/>
          <w:szCs w:val="24"/>
        </w:rPr>
        <w:t>a u naredne dvije godine udio tih prihoda pada za 3%.</w:t>
      </w:r>
    </w:p>
    <w:p w14:paraId="087C4B36" w14:textId="47500552" w:rsidR="005F62A1" w:rsidRPr="00287CFF" w:rsidRDefault="005F62A1" w:rsidP="00E927EF">
      <w:pPr>
        <w:rPr>
          <w:rFonts w:ascii="Times New Roman" w:hAnsi="Times New Roman" w:cs="Times New Roman"/>
          <w:sz w:val="24"/>
          <w:szCs w:val="24"/>
        </w:rPr>
      </w:pPr>
      <w:r w:rsidRPr="00287CFF">
        <w:rPr>
          <w:rFonts w:ascii="Times New Roman" w:hAnsi="Times New Roman" w:cs="Times New Roman"/>
          <w:sz w:val="24"/>
          <w:szCs w:val="24"/>
        </w:rPr>
        <w:t>A2. RASHODI POSLOVANJA I RASHODI ZA NABAVU NEFINANCIJSKE IMOVINE</w:t>
      </w:r>
    </w:p>
    <w:p w14:paraId="270E8CF6" w14:textId="77777777" w:rsidR="006F5D34" w:rsidRDefault="006F5D34" w:rsidP="006F5D34">
      <w:pPr>
        <w:rPr>
          <w:rFonts w:ascii="Times New Roman" w:hAnsi="Times New Roman" w:cs="Times New Roman"/>
          <w:sz w:val="24"/>
          <w:szCs w:val="24"/>
        </w:rPr>
      </w:pPr>
      <w:r w:rsidRPr="006F5D34">
        <w:rPr>
          <w:noProof/>
        </w:rPr>
        <w:drawing>
          <wp:inline distT="0" distB="0" distL="0" distR="0" wp14:anchorId="1C888712" wp14:editId="1CDDBE00">
            <wp:extent cx="5943600" cy="7353300"/>
            <wp:effectExtent l="0" t="0" r="0" b="0"/>
            <wp:docPr id="209624437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BE07" w14:textId="399E9A43" w:rsidR="000B2223" w:rsidRPr="00E927EF" w:rsidRDefault="000B2223" w:rsidP="006F5D34">
      <w:pPr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lastRenderedPageBreak/>
        <w:t>Ukupni rashodi za 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godinu su planirani u iznosu od </w:t>
      </w:r>
      <w:r w:rsidR="001C0C63" w:rsidRPr="00E927EF">
        <w:rPr>
          <w:rFonts w:ascii="Times New Roman" w:hAnsi="Times New Roman" w:cs="Times New Roman"/>
          <w:sz w:val="24"/>
          <w:szCs w:val="24"/>
        </w:rPr>
        <w:t>55.</w:t>
      </w:r>
      <w:r w:rsidR="006F5D34">
        <w:rPr>
          <w:rFonts w:ascii="Times New Roman" w:hAnsi="Times New Roman" w:cs="Times New Roman"/>
          <w:sz w:val="24"/>
          <w:szCs w:val="24"/>
        </w:rPr>
        <w:t>668.700</w:t>
      </w:r>
      <w:r w:rsidR="001C0C63" w:rsidRPr="00E927EF">
        <w:rPr>
          <w:rFonts w:ascii="Times New Roman" w:hAnsi="Times New Roman" w:cs="Times New Roman"/>
          <w:sz w:val="24"/>
          <w:szCs w:val="24"/>
        </w:rPr>
        <w:t>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. Najveći udio pripada razredu 3 Rashodi poslovanja u iznosu </w:t>
      </w:r>
      <w:r w:rsidR="001C0C63" w:rsidRPr="00E927EF">
        <w:rPr>
          <w:rFonts w:ascii="Times New Roman" w:hAnsi="Times New Roman" w:cs="Times New Roman"/>
          <w:sz w:val="24"/>
          <w:szCs w:val="24"/>
        </w:rPr>
        <w:t>52.</w:t>
      </w:r>
      <w:r w:rsidR="006F5D34">
        <w:rPr>
          <w:rFonts w:ascii="Times New Roman" w:hAnsi="Times New Roman" w:cs="Times New Roman"/>
          <w:sz w:val="24"/>
          <w:szCs w:val="24"/>
        </w:rPr>
        <w:t>900.336</w:t>
      </w:r>
      <w:r w:rsidR="001C0C63" w:rsidRPr="00E927EF">
        <w:rPr>
          <w:rFonts w:ascii="Times New Roman" w:hAnsi="Times New Roman" w:cs="Times New Roman"/>
          <w:sz w:val="24"/>
          <w:szCs w:val="24"/>
        </w:rPr>
        <w:t>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 što je udio od </w:t>
      </w:r>
      <w:r w:rsidR="00AF2D3E" w:rsidRPr="00E927EF">
        <w:rPr>
          <w:rFonts w:ascii="Times New Roman" w:hAnsi="Times New Roman" w:cs="Times New Roman"/>
          <w:sz w:val="24"/>
          <w:szCs w:val="24"/>
        </w:rPr>
        <w:t>95,0</w:t>
      </w:r>
      <w:r w:rsidR="00D33AF1">
        <w:rPr>
          <w:rFonts w:ascii="Times New Roman" w:hAnsi="Times New Roman" w:cs="Times New Roman"/>
          <w:sz w:val="24"/>
          <w:szCs w:val="24"/>
        </w:rPr>
        <w:t>3</w:t>
      </w:r>
      <w:r w:rsidRPr="00E927EF">
        <w:rPr>
          <w:rFonts w:ascii="Times New Roman" w:hAnsi="Times New Roman" w:cs="Times New Roman"/>
          <w:sz w:val="24"/>
          <w:szCs w:val="24"/>
        </w:rPr>
        <w:t>% ukupnih rashoda. Rashodi za nabavu nefinancijske imovine planirani su za 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godinu u </w:t>
      </w:r>
      <w:r w:rsidR="001C0C63" w:rsidRPr="00E927EF">
        <w:rPr>
          <w:rFonts w:ascii="Times New Roman" w:hAnsi="Times New Roman" w:cs="Times New Roman"/>
          <w:sz w:val="24"/>
          <w:szCs w:val="24"/>
        </w:rPr>
        <w:t>iznosu</w:t>
      </w:r>
      <w:r w:rsidRPr="00E927EF">
        <w:rPr>
          <w:rFonts w:ascii="Times New Roman" w:hAnsi="Times New Roman" w:cs="Times New Roman"/>
          <w:sz w:val="24"/>
          <w:szCs w:val="24"/>
        </w:rPr>
        <w:t xml:space="preserve"> od </w:t>
      </w:r>
      <w:r w:rsidR="001C0C63" w:rsidRPr="00E927EF">
        <w:rPr>
          <w:rFonts w:ascii="Times New Roman" w:hAnsi="Times New Roman" w:cs="Times New Roman"/>
          <w:sz w:val="24"/>
          <w:szCs w:val="24"/>
        </w:rPr>
        <w:t>2.768.364 EUR</w:t>
      </w:r>
      <w:r w:rsidRPr="00E927EF">
        <w:rPr>
          <w:rFonts w:ascii="Times New Roman" w:hAnsi="Times New Roman" w:cs="Times New Roman"/>
          <w:sz w:val="24"/>
          <w:szCs w:val="24"/>
        </w:rPr>
        <w:t>.</w:t>
      </w:r>
    </w:p>
    <w:p w14:paraId="0D30AC8E" w14:textId="1427908E" w:rsidR="001466A1" w:rsidRPr="00E927EF" w:rsidRDefault="001466A1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 xml:space="preserve">U strukturi rashoda poslovanja najveći udio čini skupina </w:t>
      </w:r>
      <w:r w:rsidR="001C0C63" w:rsidRPr="00E927EF">
        <w:rPr>
          <w:rFonts w:ascii="Times New Roman" w:hAnsi="Times New Roman" w:cs="Times New Roman"/>
          <w:sz w:val="24"/>
          <w:szCs w:val="24"/>
        </w:rPr>
        <w:t>38 Ostali rashodi</w:t>
      </w:r>
      <w:r w:rsidRPr="00E927E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C0C63" w:rsidRPr="00E927EF">
        <w:rPr>
          <w:rFonts w:ascii="Times New Roman" w:hAnsi="Times New Roman" w:cs="Times New Roman"/>
          <w:sz w:val="24"/>
          <w:szCs w:val="24"/>
        </w:rPr>
        <w:t>17.498.653,00 EUR</w:t>
      </w:r>
      <w:r w:rsidR="00AD5A24" w:rsidRPr="00E927EF">
        <w:rPr>
          <w:rFonts w:ascii="Times New Roman" w:hAnsi="Times New Roman" w:cs="Times New Roman"/>
          <w:sz w:val="24"/>
          <w:szCs w:val="24"/>
        </w:rPr>
        <w:t xml:space="preserve">, </w:t>
      </w:r>
      <w:r w:rsidR="001C0C63" w:rsidRPr="00E927EF">
        <w:rPr>
          <w:rFonts w:ascii="Times New Roman" w:hAnsi="Times New Roman" w:cs="Times New Roman"/>
          <w:sz w:val="24"/>
          <w:szCs w:val="24"/>
        </w:rPr>
        <w:t>35 Subvencije</w:t>
      </w:r>
      <w:r w:rsidRPr="00E927EF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1C0C63" w:rsidRPr="00E927EF">
        <w:rPr>
          <w:rFonts w:ascii="Times New Roman" w:hAnsi="Times New Roman" w:cs="Times New Roman"/>
          <w:sz w:val="24"/>
          <w:szCs w:val="24"/>
        </w:rPr>
        <w:t xml:space="preserve"> 14.809.498,00 EUR</w:t>
      </w:r>
      <w:r w:rsidR="00AD5A24" w:rsidRPr="00E927EF">
        <w:rPr>
          <w:rFonts w:ascii="Times New Roman" w:hAnsi="Times New Roman" w:cs="Times New Roman"/>
          <w:sz w:val="24"/>
          <w:szCs w:val="24"/>
        </w:rPr>
        <w:t>,</w:t>
      </w:r>
      <w:r w:rsidRPr="00E927EF">
        <w:rPr>
          <w:rFonts w:ascii="Times New Roman" w:hAnsi="Times New Roman" w:cs="Times New Roman"/>
          <w:sz w:val="24"/>
          <w:szCs w:val="24"/>
        </w:rPr>
        <w:t xml:space="preserve"> </w:t>
      </w:r>
      <w:r w:rsidR="00AD5A24" w:rsidRPr="00E927EF">
        <w:rPr>
          <w:rFonts w:ascii="Times New Roman" w:hAnsi="Times New Roman" w:cs="Times New Roman"/>
          <w:sz w:val="24"/>
          <w:szCs w:val="24"/>
        </w:rPr>
        <w:t>te skupina 31 Rashodi za zaposlene u iznosu 13.</w:t>
      </w:r>
      <w:r w:rsidR="00EF41D5">
        <w:rPr>
          <w:rFonts w:ascii="Times New Roman" w:hAnsi="Times New Roman" w:cs="Times New Roman"/>
          <w:sz w:val="24"/>
          <w:szCs w:val="24"/>
        </w:rPr>
        <w:t>579.484</w:t>
      </w:r>
      <w:r w:rsidR="00AD5A24" w:rsidRPr="00E927EF">
        <w:rPr>
          <w:rFonts w:ascii="Times New Roman" w:hAnsi="Times New Roman" w:cs="Times New Roman"/>
          <w:sz w:val="24"/>
          <w:szCs w:val="24"/>
        </w:rPr>
        <w:t xml:space="preserve">,00 EUR. 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navedene skupine najveći dio financiran je iz izvora </w:t>
      </w:r>
      <w:r w:rsidR="0078579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563 Europski fond za regionalni razvoj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nadalje iz izvora </w:t>
      </w:r>
      <w:r w:rsidR="0078579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11 Opći prihodi i primici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8E33F2" w14:textId="15B611A6" w:rsidR="001466A1" w:rsidRPr="00E927EF" w:rsidRDefault="001466A1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Rashodi za nabavu nefinancijske imovine planirani su u 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godini u iznosu od </w:t>
      </w:r>
      <w:r w:rsidR="00AD5A24" w:rsidRPr="00E927EF">
        <w:rPr>
          <w:rFonts w:ascii="Times New Roman" w:hAnsi="Times New Roman" w:cs="Times New Roman"/>
          <w:sz w:val="24"/>
          <w:szCs w:val="24"/>
        </w:rPr>
        <w:t xml:space="preserve">2.768.634,00 </w:t>
      </w:r>
      <w:r w:rsidR="00CE2C37" w:rsidRPr="00E927EF">
        <w:rPr>
          <w:rFonts w:ascii="Times New Roman" w:hAnsi="Times New Roman" w:cs="Times New Roman"/>
          <w:sz w:val="24"/>
          <w:szCs w:val="24"/>
        </w:rPr>
        <w:t>EUR</w:t>
      </w:r>
      <w:r w:rsidRPr="00E927EF">
        <w:rPr>
          <w:rFonts w:ascii="Times New Roman" w:hAnsi="Times New Roman" w:cs="Times New Roman"/>
          <w:sz w:val="24"/>
          <w:szCs w:val="24"/>
        </w:rPr>
        <w:t>, iz izvora</w:t>
      </w:r>
      <w:r w:rsidR="00CE2C37" w:rsidRPr="00E927EF">
        <w:rPr>
          <w:rFonts w:ascii="Times New Roman" w:hAnsi="Times New Roman" w:cs="Times New Roman"/>
          <w:sz w:val="24"/>
          <w:szCs w:val="24"/>
        </w:rPr>
        <w:t xml:space="preserve"> 11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 Opći prihodi i primici,</w:t>
      </w:r>
      <w:r w:rsidR="00CE2C37" w:rsidRPr="00E927EF">
        <w:rPr>
          <w:rFonts w:ascii="Times New Roman" w:hAnsi="Times New Roman" w:cs="Times New Roman"/>
          <w:sz w:val="24"/>
          <w:szCs w:val="24"/>
        </w:rPr>
        <w:t xml:space="preserve"> 12 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Sredstva učešća za pomoći, </w:t>
      </w:r>
      <w:r w:rsidR="00CE2C37" w:rsidRPr="00E927EF">
        <w:rPr>
          <w:rFonts w:ascii="Times New Roman" w:hAnsi="Times New Roman" w:cs="Times New Roman"/>
          <w:sz w:val="24"/>
          <w:szCs w:val="24"/>
        </w:rPr>
        <w:t>84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 Namjenski primici od povrata glavnica danih zajmova,</w:t>
      </w:r>
      <w:r w:rsidR="00CE2C37" w:rsidRPr="00E927EF">
        <w:rPr>
          <w:rFonts w:ascii="Times New Roman" w:hAnsi="Times New Roman" w:cs="Times New Roman"/>
          <w:sz w:val="24"/>
          <w:szCs w:val="24"/>
        </w:rPr>
        <w:t xml:space="preserve"> 563 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Europski fond za regionalni razvoj, </w:t>
      </w:r>
      <w:r w:rsidR="00CE2C37" w:rsidRPr="00E927EF">
        <w:rPr>
          <w:rFonts w:ascii="Times New Roman" w:hAnsi="Times New Roman" w:cs="Times New Roman"/>
          <w:sz w:val="24"/>
          <w:szCs w:val="24"/>
        </w:rPr>
        <w:t>559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 Ostale refundacije iz pomoći EU,</w:t>
      </w:r>
      <w:r w:rsidR="00CE2C37" w:rsidRPr="00E927EF">
        <w:rPr>
          <w:rFonts w:ascii="Times New Roman" w:hAnsi="Times New Roman" w:cs="Times New Roman"/>
          <w:sz w:val="24"/>
          <w:szCs w:val="24"/>
        </w:rPr>
        <w:t xml:space="preserve"> 565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 Europski poljoprivredni fond za ruralni razvoj</w:t>
      </w:r>
      <w:r w:rsidRPr="00E927EF">
        <w:rPr>
          <w:rFonts w:ascii="Times New Roman" w:hAnsi="Times New Roman" w:cs="Times New Roman"/>
          <w:sz w:val="24"/>
          <w:szCs w:val="24"/>
        </w:rPr>
        <w:t>.</w:t>
      </w:r>
      <w:r w:rsidR="00074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09FC0" w14:textId="3D9648AA" w:rsidR="000B2223" w:rsidRPr="002905B0" w:rsidRDefault="000B2223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Plan ukupnih rashoda za 2025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godinu iznosi </w:t>
      </w:r>
      <w:r w:rsidR="002D6DC4" w:rsidRPr="00E927EF">
        <w:rPr>
          <w:rFonts w:ascii="Times New Roman" w:hAnsi="Times New Roman" w:cs="Times New Roman"/>
          <w:sz w:val="24"/>
          <w:szCs w:val="24"/>
        </w:rPr>
        <w:t>55.</w:t>
      </w:r>
      <w:r w:rsidR="006F5D34">
        <w:rPr>
          <w:rFonts w:ascii="Times New Roman" w:hAnsi="Times New Roman" w:cs="Times New Roman"/>
          <w:sz w:val="24"/>
          <w:szCs w:val="24"/>
        </w:rPr>
        <w:t>730.998</w:t>
      </w:r>
      <w:r w:rsidR="002D6DC4" w:rsidRPr="00E927EF">
        <w:rPr>
          <w:rFonts w:ascii="Times New Roman" w:hAnsi="Times New Roman" w:cs="Times New Roman"/>
          <w:sz w:val="24"/>
          <w:szCs w:val="24"/>
        </w:rPr>
        <w:t>,00 EUR</w:t>
      </w:r>
      <w:r w:rsidRPr="00D41533">
        <w:rPr>
          <w:rFonts w:ascii="Times New Roman" w:hAnsi="Times New Roman" w:cs="Times New Roman"/>
          <w:sz w:val="24"/>
          <w:szCs w:val="24"/>
        </w:rPr>
        <w:t xml:space="preserve">, što je za </w:t>
      </w:r>
      <w:r w:rsidR="00D41533" w:rsidRPr="00D41533">
        <w:rPr>
          <w:rFonts w:ascii="Times New Roman" w:hAnsi="Times New Roman" w:cs="Times New Roman"/>
          <w:sz w:val="24"/>
          <w:szCs w:val="24"/>
        </w:rPr>
        <w:t>0,11%</w:t>
      </w:r>
      <w:r w:rsidRPr="00D41533">
        <w:rPr>
          <w:rFonts w:ascii="Times New Roman" w:hAnsi="Times New Roman" w:cs="Times New Roman"/>
          <w:sz w:val="24"/>
          <w:szCs w:val="24"/>
        </w:rPr>
        <w:t xml:space="preserve"> povećanje u odnosu na 2024</w:t>
      </w:r>
      <w:r w:rsidR="00806CF0" w:rsidRPr="00D41533">
        <w:rPr>
          <w:rFonts w:ascii="Times New Roman" w:hAnsi="Times New Roman" w:cs="Times New Roman"/>
          <w:sz w:val="24"/>
          <w:szCs w:val="24"/>
        </w:rPr>
        <w:t>.</w:t>
      </w:r>
      <w:r w:rsidRPr="00D41533">
        <w:rPr>
          <w:rFonts w:ascii="Times New Roman" w:hAnsi="Times New Roman" w:cs="Times New Roman"/>
          <w:sz w:val="24"/>
          <w:szCs w:val="24"/>
        </w:rPr>
        <w:t xml:space="preserve"> </w:t>
      </w:r>
      <w:r w:rsidRPr="002905B0">
        <w:rPr>
          <w:rFonts w:ascii="Times New Roman" w:hAnsi="Times New Roman" w:cs="Times New Roman"/>
          <w:sz w:val="24"/>
          <w:szCs w:val="24"/>
        </w:rPr>
        <w:t xml:space="preserve">godinu. </w:t>
      </w:r>
      <w:r w:rsidR="00D41533" w:rsidRPr="002905B0">
        <w:rPr>
          <w:rFonts w:ascii="Times New Roman" w:hAnsi="Times New Roman" w:cs="Times New Roman"/>
          <w:sz w:val="24"/>
          <w:szCs w:val="24"/>
        </w:rPr>
        <w:t xml:space="preserve">U </w:t>
      </w:r>
      <w:r w:rsidRPr="002905B0">
        <w:rPr>
          <w:rFonts w:ascii="Times New Roman" w:hAnsi="Times New Roman" w:cs="Times New Roman"/>
          <w:sz w:val="24"/>
          <w:szCs w:val="24"/>
        </w:rPr>
        <w:t>2026</w:t>
      </w:r>
      <w:r w:rsidR="00806CF0" w:rsidRPr="002905B0">
        <w:rPr>
          <w:rFonts w:ascii="Times New Roman" w:hAnsi="Times New Roman" w:cs="Times New Roman"/>
          <w:sz w:val="24"/>
          <w:szCs w:val="24"/>
        </w:rPr>
        <w:t>.</w:t>
      </w:r>
      <w:r w:rsidRPr="002905B0">
        <w:rPr>
          <w:rFonts w:ascii="Times New Roman" w:hAnsi="Times New Roman" w:cs="Times New Roman"/>
          <w:sz w:val="24"/>
          <w:szCs w:val="24"/>
        </w:rPr>
        <w:t xml:space="preserve"> godina planiran</w:t>
      </w:r>
      <w:r w:rsidR="00D41533" w:rsidRPr="002905B0">
        <w:rPr>
          <w:rFonts w:ascii="Times New Roman" w:hAnsi="Times New Roman" w:cs="Times New Roman"/>
          <w:sz w:val="24"/>
          <w:szCs w:val="24"/>
        </w:rPr>
        <w:t>o</w:t>
      </w:r>
      <w:r w:rsidRPr="002905B0">
        <w:rPr>
          <w:rFonts w:ascii="Times New Roman" w:hAnsi="Times New Roman" w:cs="Times New Roman"/>
          <w:sz w:val="24"/>
          <w:szCs w:val="24"/>
        </w:rPr>
        <w:t xml:space="preserve"> je</w:t>
      </w:r>
      <w:r w:rsidR="00D41533" w:rsidRPr="002905B0">
        <w:rPr>
          <w:rFonts w:ascii="Times New Roman" w:hAnsi="Times New Roman" w:cs="Times New Roman"/>
          <w:sz w:val="24"/>
          <w:szCs w:val="24"/>
        </w:rPr>
        <w:t xml:space="preserve"> 60.447.258,00 EUR</w:t>
      </w:r>
      <w:r w:rsidRPr="002905B0">
        <w:rPr>
          <w:rFonts w:ascii="Times New Roman" w:hAnsi="Times New Roman" w:cs="Times New Roman"/>
          <w:sz w:val="24"/>
          <w:szCs w:val="24"/>
        </w:rPr>
        <w:t xml:space="preserve"> ukupnih rashoda, </w:t>
      </w:r>
      <w:r w:rsidR="00D41533" w:rsidRPr="002905B0">
        <w:rPr>
          <w:rFonts w:ascii="Times New Roman" w:hAnsi="Times New Roman" w:cs="Times New Roman"/>
          <w:sz w:val="24"/>
          <w:szCs w:val="24"/>
        </w:rPr>
        <w:t>što je povećanje za 8,46</w:t>
      </w:r>
      <w:r w:rsidRPr="002905B0">
        <w:rPr>
          <w:rFonts w:ascii="Times New Roman" w:hAnsi="Times New Roman" w:cs="Times New Roman"/>
          <w:sz w:val="24"/>
          <w:szCs w:val="24"/>
        </w:rPr>
        <w:t xml:space="preserve">% </w:t>
      </w:r>
      <w:r w:rsidR="00D41533" w:rsidRPr="002905B0">
        <w:rPr>
          <w:rFonts w:ascii="Times New Roman" w:hAnsi="Times New Roman" w:cs="Times New Roman"/>
          <w:sz w:val="24"/>
          <w:szCs w:val="24"/>
        </w:rPr>
        <w:t xml:space="preserve">u odnosu na </w:t>
      </w:r>
      <w:r w:rsidRPr="002905B0">
        <w:rPr>
          <w:rFonts w:ascii="Times New Roman" w:hAnsi="Times New Roman" w:cs="Times New Roman"/>
          <w:sz w:val="24"/>
          <w:szCs w:val="24"/>
        </w:rPr>
        <w:t>202</w:t>
      </w:r>
      <w:r w:rsidR="00D41533" w:rsidRPr="002905B0">
        <w:rPr>
          <w:rFonts w:ascii="Times New Roman" w:hAnsi="Times New Roman" w:cs="Times New Roman"/>
          <w:sz w:val="24"/>
          <w:szCs w:val="24"/>
        </w:rPr>
        <w:t>5</w:t>
      </w:r>
      <w:r w:rsidR="00806CF0" w:rsidRPr="002905B0">
        <w:rPr>
          <w:rFonts w:ascii="Times New Roman" w:hAnsi="Times New Roman" w:cs="Times New Roman"/>
          <w:sz w:val="24"/>
          <w:szCs w:val="24"/>
        </w:rPr>
        <w:t>.</w:t>
      </w:r>
      <w:r w:rsidRPr="002905B0">
        <w:rPr>
          <w:rFonts w:ascii="Times New Roman" w:hAnsi="Times New Roman" w:cs="Times New Roman"/>
          <w:sz w:val="24"/>
          <w:szCs w:val="24"/>
        </w:rPr>
        <w:t xml:space="preserve"> godin</w:t>
      </w:r>
      <w:r w:rsidR="00D41533" w:rsidRPr="002905B0">
        <w:rPr>
          <w:rFonts w:ascii="Times New Roman" w:hAnsi="Times New Roman" w:cs="Times New Roman"/>
          <w:sz w:val="24"/>
          <w:szCs w:val="24"/>
        </w:rPr>
        <w:t>u</w:t>
      </w:r>
      <w:r w:rsidRPr="002905B0">
        <w:rPr>
          <w:rFonts w:ascii="Times New Roman" w:hAnsi="Times New Roman" w:cs="Times New Roman"/>
          <w:sz w:val="24"/>
          <w:szCs w:val="24"/>
        </w:rPr>
        <w:t xml:space="preserve">. </w:t>
      </w:r>
      <w:r w:rsidR="002D6DC4" w:rsidRPr="002905B0">
        <w:rPr>
          <w:rFonts w:ascii="Times New Roman" w:hAnsi="Times New Roman" w:cs="Times New Roman"/>
          <w:sz w:val="24"/>
          <w:szCs w:val="24"/>
        </w:rPr>
        <w:t>Značajnija</w:t>
      </w:r>
      <w:r w:rsidRPr="002905B0">
        <w:rPr>
          <w:rFonts w:ascii="Times New Roman" w:hAnsi="Times New Roman" w:cs="Times New Roman"/>
          <w:sz w:val="24"/>
          <w:szCs w:val="24"/>
        </w:rPr>
        <w:t xml:space="preserve"> odstupanja</w:t>
      </w:r>
      <w:r w:rsidR="002905B0">
        <w:rPr>
          <w:rFonts w:ascii="Times New Roman" w:hAnsi="Times New Roman" w:cs="Times New Roman"/>
          <w:sz w:val="24"/>
          <w:szCs w:val="24"/>
        </w:rPr>
        <w:t xml:space="preserve"> odnose se na</w:t>
      </w:r>
      <w:r w:rsidRPr="002905B0">
        <w:rPr>
          <w:rFonts w:ascii="Times New Roman" w:hAnsi="Times New Roman" w:cs="Times New Roman"/>
          <w:sz w:val="24"/>
          <w:szCs w:val="24"/>
        </w:rPr>
        <w:t xml:space="preserve"> kategorij</w:t>
      </w:r>
      <w:r w:rsidR="002905B0">
        <w:rPr>
          <w:rFonts w:ascii="Times New Roman" w:hAnsi="Times New Roman" w:cs="Times New Roman"/>
          <w:sz w:val="24"/>
          <w:szCs w:val="24"/>
        </w:rPr>
        <w:t>u</w:t>
      </w:r>
      <w:r w:rsidRPr="002905B0">
        <w:rPr>
          <w:rFonts w:ascii="Times New Roman" w:hAnsi="Times New Roman" w:cs="Times New Roman"/>
          <w:sz w:val="24"/>
          <w:szCs w:val="24"/>
        </w:rPr>
        <w:t xml:space="preserve"> rashoda </w:t>
      </w:r>
      <w:r w:rsidR="002905B0">
        <w:rPr>
          <w:rFonts w:ascii="Times New Roman" w:hAnsi="Times New Roman" w:cs="Times New Roman"/>
          <w:sz w:val="24"/>
          <w:szCs w:val="24"/>
        </w:rPr>
        <w:t>i to na</w:t>
      </w:r>
      <w:r w:rsidRPr="002905B0">
        <w:rPr>
          <w:rFonts w:ascii="Times New Roman" w:hAnsi="Times New Roman" w:cs="Times New Roman"/>
          <w:sz w:val="24"/>
          <w:szCs w:val="24"/>
        </w:rPr>
        <w:t xml:space="preserve"> rashod</w:t>
      </w:r>
      <w:r w:rsidR="002905B0">
        <w:rPr>
          <w:rFonts w:ascii="Times New Roman" w:hAnsi="Times New Roman" w:cs="Times New Roman"/>
          <w:sz w:val="24"/>
          <w:szCs w:val="24"/>
        </w:rPr>
        <w:t>e</w:t>
      </w:r>
      <w:r w:rsidRPr="002905B0">
        <w:rPr>
          <w:rFonts w:ascii="Times New Roman" w:hAnsi="Times New Roman" w:cs="Times New Roman"/>
          <w:sz w:val="24"/>
          <w:szCs w:val="24"/>
        </w:rPr>
        <w:t xml:space="preserve"> poslovanja </w:t>
      </w:r>
      <w:r w:rsidR="002905B0">
        <w:rPr>
          <w:rFonts w:ascii="Times New Roman" w:hAnsi="Times New Roman" w:cs="Times New Roman"/>
          <w:sz w:val="24"/>
          <w:szCs w:val="24"/>
        </w:rPr>
        <w:t xml:space="preserve">u </w:t>
      </w:r>
      <w:r w:rsidR="001466A1" w:rsidRPr="002905B0">
        <w:rPr>
          <w:rFonts w:ascii="Times New Roman" w:hAnsi="Times New Roman" w:cs="Times New Roman"/>
          <w:sz w:val="24"/>
          <w:szCs w:val="24"/>
        </w:rPr>
        <w:t>2024</w:t>
      </w:r>
      <w:r w:rsidR="00806CF0" w:rsidRPr="002905B0">
        <w:rPr>
          <w:rFonts w:ascii="Times New Roman" w:hAnsi="Times New Roman" w:cs="Times New Roman"/>
          <w:sz w:val="24"/>
          <w:szCs w:val="24"/>
        </w:rPr>
        <w:t>.</w:t>
      </w:r>
      <w:r w:rsidR="001466A1" w:rsidRPr="002905B0">
        <w:rPr>
          <w:rFonts w:ascii="Times New Roman" w:hAnsi="Times New Roman" w:cs="Times New Roman"/>
          <w:sz w:val="24"/>
          <w:szCs w:val="24"/>
        </w:rPr>
        <w:t xml:space="preserve"> godine u</w:t>
      </w:r>
      <w:r w:rsidR="002905B0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1466A1" w:rsidRPr="002905B0">
        <w:rPr>
          <w:rFonts w:ascii="Times New Roman" w:hAnsi="Times New Roman" w:cs="Times New Roman"/>
          <w:sz w:val="24"/>
          <w:szCs w:val="24"/>
        </w:rPr>
        <w:t xml:space="preserve"> 2025</w:t>
      </w:r>
      <w:r w:rsidR="00806CF0" w:rsidRPr="002905B0">
        <w:rPr>
          <w:rFonts w:ascii="Times New Roman" w:hAnsi="Times New Roman" w:cs="Times New Roman"/>
          <w:sz w:val="24"/>
          <w:szCs w:val="24"/>
        </w:rPr>
        <w:t>.</w:t>
      </w:r>
      <w:r w:rsidR="001466A1" w:rsidRPr="002905B0">
        <w:rPr>
          <w:rFonts w:ascii="Times New Roman" w:hAnsi="Times New Roman" w:cs="Times New Roman"/>
          <w:sz w:val="24"/>
          <w:szCs w:val="24"/>
        </w:rPr>
        <w:t xml:space="preserve"> </w:t>
      </w:r>
      <w:r w:rsidR="002905B0">
        <w:rPr>
          <w:rFonts w:ascii="Times New Roman" w:hAnsi="Times New Roman" w:cs="Times New Roman"/>
          <w:sz w:val="24"/>
          <w:szCs w:val="24"/>
        </w:rPr>
        <w:t xml:space="preserve">i </w:t>
      </w:r>
      <w:r w:rsidR="001466A1" w:rsidRPr="002905B0">
        <w:rPr>
          <w:rFonts w:ascii="Times New Roman" w:hAnsi="Times New Roman" w:cs="Times New Roman"/>
          <w:sz w:val="24"/>
          <w:szCs w:val="24"/>
        </w:rPr>
        <w:t>2026</w:t>
      </w:r>
      <w:r w:rsidR="00806CF0" w:rsidRPr="002905B0">
        <w:rPr>
          <w:rFonts w:ascii="Times New Roman" w:hAnsi="Times New Roman" w:cs="Times New Roman"/>
          <w:sz w:val="24"/>
          <w:szCs w:val="24"/>
        </w:rPr>
        <w:t>.</w:t>
      </w:r>
      <w:r w:rsidR="001466A1" w:rsidRPr="002905B0">
        <w:rPr>
          <w:rFonts w:ascii="Times New Roman" w:hAnsi="Times New Roman" w:cs="Times New Roman"/>
          <w:sz w:val="24"/>
          <w:szCs w:val="24"/>
        </w:rPr>
        <w:t xml:space="preserve"> godin</w:t>
      </w:r>
      <w:r w:rsidR="002905B0" w:rsidRPr="002905B0">
        <w:rPr>
          <w:rFonts w:ascii="Times New Roman" w:hAnsi="Times New Roman" w:cs="Times New Roman"/>
          <w:sz w:val="24"/>
          <w:szCs w:val="24"/>
        </w:rPr>
        <w:t>u</w:t>
      </w:r>
      <w:r w:rsidR="002905B0">
        <w:rPr>
          <w:rFonts w:ascii="Times New Roman" w:hAnsi="Times New Roman" w:cs="Times New Roman"/>
          <w:sz w:val="24"/>
          <w:szCs w:val="24"/>
        </w:rPr>
        <w:t xml:space="preserve">. Povećanja su iskazana u kategorijama skupina </w:t>
      </w:r>
      <w:r w:rsidR="002905B0" w:rsidRPr="002905B0">
        <w:rPr>
          <w:rFonts w:ascii="Times New Roman" w:hAnsi="Times New Roman" w:cs="Times New Roman"/>
          <w:sz w:val="24"/>
          <w:szCs w:val="24"/>
        </w:rPr>
        <w:t>35 Subvencije i 38 Ostali rashodi.</w:t>
      </w:r>
    </w:p>
    <w:p w14:paraId="1F2B58E7" w14:textId="7D1677BE" w:rsidR="00D752A7" w:rsidRPr="00E927EF" w:rsidRDefault="002D6DC4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 xml:space="preserve">Razlika između ukupnih prihoda i ukupnih rashoda planiranih za 2024. godinu je </w:t>
      </w:r>
      <w:r w:rsidR="00AF2D3E" w:rsidRPr="00E927EF">
        <w:rPr>
          <w:rFonts w:ascii="Times New Roman" w:hAnsi="Times New Roman" w:cs="Times New Roman"/>
          <w:sz w:val="24"/>
          <w:szCs w:val="24"/>
        </w:rPr>
        <w:t>1.528.464,00 EUR</w:t>
      </w:r>
      <w:r w:rsidRPr="00E927EF">
        <w:rPr>
          <w:rFonts w:ascii="Times New Roman" w:hAnsi="Times New Roman" w:cs="Times New Roman"/>
          <w:sz w:val="24"/>
          <w:szCs w:val="24"/>
        </w:rPr>
        <w:t>, u 2025.</w:t>
      </w:r>
      <w:r w:rsidR="00AF2D3E" w:rsidRPr="00E927EF">
        <w:rPr>
          <w:rFonts w:ascii="Times New Roman" w:hAnsi="Times New Roman" w:cs="Times New Roman"/>
          <w:sz w:val="24"/>
          <w:szCs w:val="24"/>
        </w:rPr>
        <w:t xml:space="preserve"> </w:t>
      </w:r>
      <w:r w:rsidR="00785799" w:rsidRPr="00E927EF">
        <w:rPr>
          <w:rFonts w:ascii="Times New Roman" w:hAnsi="Times New Roman" w:cs="Times New Roman"/>
          <w:sz w:val="24"/>
          <w:szCs w:val="24"/>
        </w:rPr>
        <w:t xml:space="preserve">godini </w:t>
      </w:r>
      <w:r w:rsidR="00AF2D3E" w:rsidRPr="00E927EF">
        <w:rPr>
          <w:rFonts w:ascii="Times New Roman" w:hAnsi="Times New Roman" w:cs="Times New Roman"/>
          <w:sz w:val="24"/>
          <w:szCs w:val="24"/>
        </w:rPr>
        <w:t>za 3.464.936 EUR</w:t>
      </w:r>
      <w:r w:rsidRPr="00E927EF">
        <w:rPr>
          <w:rFonts w:ascii="Times New Roman" w:hAnsi="Times New Roman" w:cs="Times New Roman"/>
          <w:sz w:val="24"/>
          <w:szCs w:val="24"/>
        </w:rPr>
        <w:t>. Za 2026</w:t>
      </w:r>
      <w:r w:rsidR="00AF2D3E" w:rsidRPr="00E927EF">
        <w:rPr>
          <w:rFonts w:ascii="Times New Roman" w:hAnsi="Times New Roman" w:cs="Times New Roman"/>
          <w:sz w:val="24"/>
          <w:szCs w:val="24"/>
        </w:rPr>
        <w:t>. godinu</w:t>
      </w:r>
      <w:r w:rsidRPr="00E927EF">
        <w:rPr>
          <w:rFonts w:ascii="Times New Roman" w:hAnsi="Times New Roman" w:cs="Times New Roman"/>
          <w:sz w:val="24"/>
          <w:szCs w:val="24"/>
        </w:rPr>
        <w:t xml:space="preserve"> ta razlika iznosi </w:t>
      </w:r>
      <w:r w:rsidR="00AF2D3E" w:rsidRPr="00E927EF">
        <w:rPr>
          <w:rFonts w:ascii="Times New Roman" w:hAnsi="Times New Roman" w:cs="Times New Roman"/>
          <w:sz w:val="24"/>
          <w:szCs w:val="24"/>
        </w:rPr>
        <w:t>2.480.</w:t>
      </w:r>
      <w:r w:rsidR="007C1349" w:rsidRPr="00E927EF">
        <w:rPr>
          <w:rFonts w:ascii="Times New Roman" w:hAnsi="Times New Roman" w:cs="Times New Roman"/>
          <w:sz w:val="24"/>
          <w:szCs w:val="24"/>
        </w:rPr>
        <w:t>473</w:t>
      </w:r>
      <w:r w:rsidR="00AF2D3E" w:rsidRPr="00E927EF">
        <w:rPr>
          <w:rFonts w:ascii="Times New Roman" w:hAnsi="Times New Roman" w:cs="Times New Roman"/>
          <w:sz w:val="24"/>
          <w:szCs w:val="24"/>
        </w:rPr>
        <w:t>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995BC" w14:textId="77777777" w:rsidR="00287CFF" w:rsidRDefault="00ED4B69" w:rsidP="00287CF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603282"/>
      <w:r w:rsidRPr="00287CFF">
        <w:rPr>
          <w:rFonts w:ascii="Times New Roman" w:hAnsi="Times New Roman" w:cs="Times New Roman"/>
          <w:b/>
          <w:bCs/>
          <w:sz w:val="24"/>
          <w:szCs w:val="24"/>
        </w:rPr>
        <w:t>B. RAČUN FINANCIRANJA</w:t>
      </w:r>
    </w:p>
    <w:p w14:paraId="508060F9" w14:textId="5EB0B5FC" w:rsidR="00ED4B69" w:rsidRPr="00287CFF" w:rsidRDefault="00ED4B69" w:rsidP="00E927EF">
      <w:pPr>
        <w:ind w:left="360"/>
        <w:rPr>
          <w:rFonts w:ascii="Times New Roman" w:hAnsi="Times New Roman" w:cs="Times New Roman"/>
          <w:sz w:val="24"/>
          <w:szCs w:val="24"/>
        </w:rPr>
      </w:pPr>
      <w:r w:rsidRPr="00287CFF">
        <w:rPr>
          <w:rFonts w:ascii="Times New Roman" w:hAnsi="Times New Roman" w:cs="Times New Roman"/>
          <w:sz w:val="24"/>
          <w:szCs w:val="24"/>
        </w:rPr>
        <w:t>RAZLIKA PRIMITAKA I IZDATAKA</w:t>
      </w:r>
    </w:p>
    <w:p w14:paraId="74D58CF7" w14:textId="56727C3A" w:rsidR="00B558FE" w:rsidRPr="00E927EF" w:rsidRDefault="00D752A7" w:rsidP="00E927EF">
      <w:pPr>
        <w:rPr>
          <w:rFonts w:ascii="Times New Roman" w:hAnsi="Times New Roman" w:cs="Times New Roman"/>
          <w:sz w:val="24"/>
          <w:szCs w:val="24"/>
        </w:rPr>
      </w:pPr>
      <w:r w:rsidRPr="00D752A7">
        <w:rPr>
          <w:noProof/>
        </w:rPr>
        <w:drawing>
          <wp:inline distT="0" distB="0" distL="0" distR="0" wp14:anchorId="5F2DD39C" wp14:editId="71B5FF5F">
            <wp:extent cx="5943600" cy="2409825"/>
            <wp:effectExtent l="0" t="0" r="0" b="9525"/>
            <wp:docPr id="37408029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1D17" w14:textId="4C41132C" w:rsidR="00B558FE" w:rsidRPr="00E927EF" w:rsidRDefault="00B558FE" w:rsidP="00E927E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lastRenderedPageBreak/>
        <w:t>Za 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godinu planirano je </w:t>
      </w:r>
      <w:r w:rsidR="002D6DC4" w:rsidRPr="00E927EF">
        <w:rPr>
          <w:rFonts w:ascii="Times New Roman" w:hAnsi="Times New Roman" w:cs="Times New Roman"/>
          <w:sz w:val="24"/>
          <w:szCs w:val="24"/>
        </w:rPr>
        <w:t>1</w:t>
      </w:r>
      <w:r w:rsidR="002A7996">
        <w:rPr>
          <w:rFonts w:ascii="Times New Roman" w:hAnsi="Times New Roman" w:cs="Times New Roman"/>
          <w:sz w:val="24"/>
          <w:szCs w:val="24"/>
        </w:rPr>
        <w:t>5</w:t>
      </w:r>
      <w:r w:rsidR="002D6DC4" w:rsidRPr="00E927EF">
        <w:rPr>
          <w:rFonts w:ascii="Times New Roman" w:hAnsi="Times New Roman" w:cs="Times New Roman"/>
          <w:sz w:val="24"/>
          <w:szCs w:val="24"/>
        </w:rPr>
        <w:t>8.920.000,00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 primitaka od financijske imovine i zaduživanja, i to najvećim dijelom iz skupine </w:t>
      </w:r>
      <w:r w:rsidR="002D6DC4" w:rsidRPr="00E927EF">
        <w:rPr>
          <w:rFonts w:ascii="Times New Roman" w:hAnsi="Times New Roman" w:cs="Times New Roman"/>
          <w:sz w:val="24"/>
          <w:szCs w:val="24"/>
        </w:rPr>
        <w:t>81</w:t>
      </w:r>
      <w:r w:rsidRPr="00E927EF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 88.000.000,00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. </w:t>
      </w:r>
      <w:r w:rsidR="002D6DC4" w:rsidRPr="00E927EF">
        <w:rPr>
          <w:rFonts w:ascii="Times New Roman" w:hAnsi="Times New Roman" w:cs="Times New Roman"/>
          <w:sz w:val="24"/>
          <w:szCs w:val="24"/>
        </w:rPr>
        <w:t>Financirana</w:t>
      </w:r>
      <w:r w:rsidRPr="00E927EF">
        <w:rPr>
          <w:rFonts w:ascii="Times New Roman" w:hAnsi="Times New Roman" w:cs="Times New Roman"/>
          <w:sz w:val="24"/>
          <w:szCs w:val="24"/>
        </w:rPr>
        <w:t xml:space="preserve"> je iz izvora </w:t>
      </w:r>
      <w:r w:rsidR="002D6DC4" w:rsidRPr="00E927EF">
        <w:rPr>
          <w:rFonts w:ascii="Times New Roman" w:hAnsi="Times New Roman" w:cs="Times New Roman"/>
          <w:sz w:val="24"/>
          <w:szCs w:val="24"/>
        </w:rPr>
        <w:t xml:space="preserve">84 Namjenski primici od povrata glavnica danih </w:t>
      </w:r>
      <w:r w:rsidR="002D6DC4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zajmova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to u iznosu od </w:t>
      </w:r>
      <w:r w:rsidR="001A55AC">
        <w:rPr>
          <w:rFonts w:ascii="Times New Roman" w:hAnsi="Times New Roman" w:cs="Times New Roman"/>
          <w:color w:val="000000" w:themeColor="text1"/>
          <w:sz w:val="24"/>
          <w:szCs w:val="24"/>
        </w:rPr>
        <w:t>55,37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3816D1B7" w14:textId="0BE711DD" w:rsidR="00B558FE" w:rsidRPr="00E927EF" w:rsidRDefault="00B558FE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U strukturi izdataka za 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godinu najveći dio odnosi se na </w:t>
      </w:r>
      <w:r w:rsidR="002D6DC4" w:rsidRPr="00E927EF">
        <w:rPr>
          <w:rFonts w:ascii="Times New Roman" w:hAnsi="Times New Roman" w:cs="Times New Roman"/>
          <w:sz w:val="24"/>
          <w:szCs w:val="24"/>
        </w:rPr>
        <w:t>51 Izdaci za dane zajmove i depozite,</w:t>
      </w:r>
      <w:r w:rsidRPr="00E927EF">
        <w:rPr>
          <w:rFonts w:ascii="Times New Roman" w:hAnsi="Times New Roman" w:cs="Times New Roman"/>
          <w:sz w:val="24"/>
          <w:szCs w:val="24"/>
        </w:rPr>
        <w:t xml:space="preserve"> a planirani su u iznosu od </w:t>
      </w:r>
      <w:r w:rsidR="002D6DC4" w:rsidRPr="00E927EF">
        <w:rPr>
          <w:rFonts w:ascii="Times New Roman" w:hAnsi="Times New Roman" w:cs="Times New Roman"/>
          <w:sz w:val="24"/>
          <w:szCs w:val="24"/>
        </w:rPr>
        <w:t>1</w:t>
      </w:r>
      <w:r w:rsidR="002A7996">
        <w:rPr>
          <w:rFonts w:ascii="Times New Roman" w:hAnsi="Times New Roman" w:cs="Times New Roman"/>
          <w:sz w:val="24"/>
          <w:szCs w:val="24"/>
        </w:rPr>
        <w:t>0</w:t>
      </w:r>
      <w:r w:rsidR="002D6DC4" w:rsidRPr="00E927EF">
        <w:rPr>
          <w:rFonts w:ascii="Times New Roman" w:hAnsi="Times New Roman" w:cs="Times New Roman"/>
          <w:sz w:val="24"/>
          <w:szCs w:val="24"/>
        </w:rPr>
        <w:t>0.650.000,00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. 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 će financirani iz izvora 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563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2054BD">
        <w:rPr>
          <w:rFonts w:ascii="Times New Roman" w:hAnsi="Times New Roman" w:cs="Times New Roman"/>
          <w:color w:val="000000" w:themeColor="text1"/>
          <w:sz w:val="24"/>
          <w:szCs w:val="24"/>
        </w:rPr>
        <w:t>39,74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te iz izvora 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4BD">
        <w:rPr>
          <w:rFonts w:ascii="Times New Roman" w:hAnsi="Times New Roman" w:cs="Times New Roman"/>
          <w:color w:val="000000" w:themeColor="text1"/>
          <w:sz w:val="24"/>
          <w:szCs w:val="24"/>
        </w:rPr>
        <w:t>26,83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iz izvora 561 u </w:t>
      </w:r>
      <w:r w:rsidR="002054BD">
        <w:rPr>
          <w:rFonts w:ascii="Times New Roman" w:hAnsi="Times New Roman" w:cs="Times New Roman"/>
          <w:color w:val="000000" w:themeColor="text1"/>
          <w:sz w:val="24"/>
          <w:szCs w:val="24"/>
        </w:rPr>
        <w:t>19,87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iz izvora 565 u </w:t>
      </w:r>
      <w:r w:rsidR="002054BD">
        <w:rPr>
          <w:rFonts w:ascii="Times New Roman" w:hAnsi="Times New Roman" w:cs="Times New Roman"/>
          <w:color w:val="000000" w:themeColor="text1"/>
          <w:sz w:val="24"/>
          <w:szCs w:val="24"/>
        </w:rPr>
        <w:t>10,85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% i iz izvora 12 u 2,</w:t>
      </w:r>
      <w:r w:rsidR="002054BD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7C1349" w:rsidRPr="00E927E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13CFF876" w14:textId="2F64A518" w:rsidR="002D6DC4" w:rsidRPr="00E927EF" w:rsidRDefault="00B558FE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Za 2025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2A7996">
        <w:rPr>
          <w:rFonts w:ascii="Times New Roman" w:hAnsi="Times New Roman" w:cs="Times New Roman"/>
          <w:sz w:val="24"/>
          <w:szCs w:val="24"/>
        </w:rPr>
        <w:t>9</w:t>
      </w:r>
      <w:r w:rsidR="002D6DC4" w:rsidRPr="00E927EF">
        <w:rPr>
          <w:rFonts w:ascii="Times New Roman" w:hAnsi="Times New Roman" w:cs="Times New Roman"/>
          <w:sz w:val="24"/>
          <w:szCs w:val="24"/>
        </w:rPr>
        <w:t>3.728.000,00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 primitaka</w:t>
      </w:r>
      <w:r w:rsidR="00AF2D3E" w:rsidRPr="00E927EF">
        <w:rPr>
          <w:rFonts w:ascii="Times New Roman" w:hAnsi="Times New Roman" w:cs="Times New Roman"/>
          <w:sz w:val="24"/>
          <w:szCs w:val="24"/>
        </w:rPr>
        <w:t>,</w:t>
      </w:r>
      <w:r w:rsidRPr="00E927EF">
        <w:rPr>
          <w:rFonts w:ascii="Times New Roman" w:hAnsi="Times New Roman" w:cs="Times New Roman"/>
          <w:sz w:val="24"/>
          <w:szCs w:val="24"/>
        </w:rPr>
        <w:t xml:space="preserve"> te </w:t>
      </w:r>
      <w:r w:rsidR="002D6DC4" w:rsidRPr="00E927EF">
        <w:rPr>
          <w:rFonts w:ascii="Times New Roman" w:hAnsi="Times New Roman" w:cs="Times New Roman"/>
          <w:sz w:val="24"/>
          <w:szCs w:val="24"/>
        </w:rPr>
        <w:t>1</w:t>
      </w:r>
      <w:r w:rsidR="002A7996">
        <w:rPr>
          <w:rFonts w:ascii="Times New Roman" w:hAnsi="Times New Roman" w:cs="Times New Roman"/>
          <w:sz w:val="24"/>
          <w:szCs w:val="24"/>
        </w:rPr>
        <w:t>0</w:t>
      </w:r>
      <w:r w:rsidR="002D6DC4" w:rsidRPr="00E927EF">
        <w:rPr>
          <w:rFonts w:ascii="Times New Roman" w:hAnsi="Times New Roman" w:cs="Times New Roman"/>
          <w:sz w:val="24"/>
          <w:szCs w:val="24"/>
        </w:rPr>
        <w:t>0.610.000,00 EUR</w:t>
      </w:r>
      <w:r w:rsidRPr="00E927EF">
        <w:rPr>
          <w:rFonts w:ascii="Times New Roman" w:hAnsi="Times New Roman" w:cs="Times New Roman"/>
          <w:sz w:val="24"/>
          <w:szCs w:val="24"/>
        </w:rPr>
        <w:t xml:space="preserve"> izdataka. </w:t>
      </w:r>
    </w:p>
    <w:p w14:paraId="451EF4E1" w14:textId="546547DC" w:rsidR="00BB36B2" w:rsidRPr="00E927EF" w:rsidRDefault="00BB36B2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Razlika između ukupnih primitaka i izdataka za 2024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godinu je </w:t>
      </w:r>
      <w:r w:rsidR="004414AB" w:rsidRPr="00E927EF">
        <w:rPr>
          <w:rFonts w:ascii="Times New Roman" w:hAnsi="Times New Roman" w:cs="Times New Roman"/>
          <w:sz w:val="24"/>
          <w:szCs w:val="24"/>
        </w:rPr>
        <w:t>58.020.000,00 EUR</w:t>
      </w:r>
      <w:r w:rsidRPr="00E927EF">
        <w:rPr>
          <w:rFonts w:ascii="Times New Roman" w:hAnsi="Times New Roman" w:cs="Times New Roman"/>
          <w:sz w:val="24"/>
          <w:szCs w:val="24"/>
        </w:rPr>
        <w:t>.</w:t>
      </w:r>
    </w:p>
    <w:p w14:paraId="6634507B" w14:textId="4B7CC1E4" w:rsidR="00BB36B2" w:rsidRPr="00E927EF" w:rsidRDefault="00BB36B2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U 2025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godini planirana je razlika između primitaka i izdataka u </w:t>
      </w:r>
      <w:r w:rsidR="00B32464" w:rsidRPr="00E927EF">
        <w:rPr>
          <w:rFonts w:ascii="Times New Roman" w:hAnsi="Times New Roman" w:cs="Times New Roman"/>
          <w:sz w:val="24"/>
          <w:szCs w:val="24"/>
        </w:rPr>
        <w:t>iznosu</w:t>
      </w:r>
      <w:r w:rsidRPr="00E927EF">
        <w:rPr>
          <w:rFonts w:ascii="Times New Roman" w:hAnsi="Times New Roman" w:cs="Times New Roman"/>
          <w:sz w:val="24"/>
          <w:szCs w:val="24"/>
        </w:rPr>
        <w:t xml:space="preserve"> od </w:t>
      </w:r>
      <w:r w:rsidR="004414AB" w:rsidRPr="00E927EF">
        <w:rPr>
          <w:rFonts w:ascii="Times New Roman" w:hAnsi="Times New Roman" w:cs="Times New Roman"/>
          <w:sz w:val="24"/>
          <w:szCs w:val="24"/>
        </w:rPr>
        <w:t>6.882.000,00 EUR</w:t>
      </w:r>
      <w:r w:rsidRPr="00E927EF">
        <w:rPr>
          <w:rFonts w:ascii="Times New Roman" w:hAnsi="Times New Roman" w:cs="Times New Roman"/>
          <w:sz w:val="24"/>
          <w:szCs w:val="24"/>
        </w:rPr>
        <w:t>, a u 2026</w:t>
      </w:r>
      <w:r w:rsidR="00806CF0" w:rsidRPr="00E927EF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 xml:space="preserve"> </w:t>
      </w:r>
      <w:r w:rsidR="004414AB" w:rsidRPr="00E927EF">
        <w:rPr>
          <w:rFonts w:ascii="Times New Roman" w:hAnsi="Times New Roman" w:cs="Times New Roman"/>
          <w:sz w:val="24"/>
          <w:szCs w:val="24"/>
        </w:rPr>
        <w:t xml:space="preserve">godini </w:t>
      </w:r>
      <w:r w:rsidRPr="00E927EF">
        <w:rPr>
          <w:rFonts w:ascii="Times New Roman" w:hAnsi="Times New Roman" w:cs="Times New Roman"/>
          <w:sz w:val="24"/>
          <w:szCs w:val="24"/>
        </w:rPr>
        <w:t xml:space="preserve">planirana razlika iznosi </w:t>
      </w:r>
      <w:r w:rsidR="004414AB" w:rsidRPr="00E927EF">
        <w:rPr>
          <w:rFonts w:ascii="Times New Roman" w:hAnsi="Times New Roman" w:cs="Times New Roman"/>
          <w:sz w:val="24"/>
          <w:szCs w:val="24"/>
        </w:rPr>
        <w:t>13.250</w:t>
      </w:r>
      <w:r w:rsidRPr="00E927EF">
        <w:rPr>
          <w:rFonts w:ascii="Times New Roman" w:hAnsi="Times New Roman" w:cs="Times New Roman"/>
          <w:sz w:val="24"/>
          <w:szCs w:val="24"/>
        </w:rPr>
        <w:t>.</w:t>
      </w:r>
      <w:r w:rsidR="004414AB" w:rsidRPr="00E927EF">
        <w:rPr>
          <w:rFonts w:ascii="Times New Roman" w:hAnsi="Times New Roman" w:cs="Times New Roman"/>
          <w:sz w:val="24"/>
          <w:szCs w:val="24"/>
        </w:rPr>
        <w:t>000,00 EUR.</w:t>
      </w:r>
    </w:p>
    <w:p w14:paraId="0063BA31" w14:textId="2C66B0C9" w:rsidR="00127105" w:rsidRDefault="009E0BBE" w:rsidP="00E927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7EF">
        <w:rPr>
          <w:rFonts w:ascii="Times New Roman" w:eastAsia="Calibri" w:hAnsi="Times New Roman" w:cs="Times New Roman"/>
          <w:sz w:val="24"/>
          <w:szCs w:val="24"/>
        </w:rPr>
        <w:t>Planirani u</w:t>
      </w:r>
      <w:r w:rsidR="00B2038B" w:rsidRPr="00E927EF">
        <w:rPr>
          <w:rFonts w:ascii="Times New Roman" w:eastAsia="Calibri" w:hAnsi="Times New Roman" w:cs="Times New Roman"/>
          <w:sz w:val="24"/>
          <w:szCs w:val="24"/>
        </w:rPr>
        <w:t xml:space="preserve">kupni prihodi i primici nisu jednaki ukupnim rashodima i izdacima. Financijski plan </w:t>
      </w:r>
      <w:r w:rsidR="002054BD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B2038B" w:rsidRPr="00E927EF">
        <w:rPr>
          <w:rFonts w:ascii="Times New Roman" w:eastAsia="Calibri" w:hAnsi="Times New Roman" w:cs="Times New Roman"/>
          <w:sz w:val="24"/>
          <w:szCs w:val="24"/>
        </w:rPr>
        <w:t>2024</w:t>
      </w:r>
      <w:r w:rsidR="002054BD">
        <w:rPr>
          <w:rFonts w:ascii="Times New Roman" w:eastAsia="Calibri" w:hAnsi="Times New Roman" w:cs="Times New Roman"/>
          <w:sz w:val="24"/>
          <w:szCs w:val="24"/>
        </w:rPr>
        <w:t>.</w:t>
      </w:r>
      <w:r w:rsidR="002A7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38B" w:rsidRPr="00E927EF">
        <w:rPr>
          <w:rFonts w:ascii="Times New Roman" w:eastAsia="Calibri" w:hAnsi="Times New Roman" w:cs="Times New Roman"/>
          <w:sz w:val="24"/>
          <w:szCs w:val="24"/>
        </w:rPr>
        <w:t>-2026</w:t>
      </w:r>
      <w:r w:rsidR="002054BD">
        <w:rPr>
          <w:rFonts w:ascii="Times New Roman" w:eastAsia="Calibri" w:hAnsi="Times New Roman" w:cs="Times New Roman"/>
          <w:sz w:val="24"/>
          <w:szCs w:val="24"/>
        </w:rPr>
        <w:t>. godine</w:t>
      </w:r>
      <w:r w:rsidR="00B2038B" w:rsidRPr="00E927EF">
        <w:rPr>
          <w:rFonts w:ascii="Times New Roman" w:eastAsia="Calibri" w:hAnsi="Times New Roman" w:cs="Times New Roman"/>
          <w:sz w:val="24"/>
          <w:szCs w:val="24"/>
        </w:rPr>
        <w:t xml:space="preserve"> sadrži i prijenos sredstava iz prethodne godine (donos) i prijenos sredstava u sljedeću godinu (odnos)</w:t>
      </w:r>
      <w:r w:rsidR="004414AB" w:rsidRPr="00E927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C7582A" w14:textId="178CE0F9" w:rsidR="00B41889" w:rsidRPr="00287CFF" w:rsidRDefault="00B41889" w:rsidP="00E927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603343"/>
      <w:bookmarkEnd w:id="0"/>
      <w:r w:rsidRPr="00287C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PRIJENOS SREDSTAVA </w:t>
      </w:r>
      <w:r w:rsidR="00287CFF" w:rsidRPr="00287CFF">
        <w:rPr>
          <w:rFonts w:ascii="Times New Roman" w:eastAsia="Calibri" w:hAnsi="Times New Roman" w:cs="Times New Roman"/>
          <w:b/>
          <w:bCs/>
          <w:sz w:val="24"/>
          <w:szCs w:val="24"/>
        </w:rPr>
        <w:t>IZ PRETHODNE U SLJEDEĆU GODINU</w:t>
      </w:r>
    </w:p>
    <w:p w14:paraId="00F1F0D3" w14:textId="156C4A59" w:rsidR="00B2038B" w:rsidRPr="00E927EF" w:rsidRDefault="00B2038B" w:rsidP="00E927EF">
      <w:pPr>
        <w:jc w:val="both"/>
        <w:rPr>
          <w:rFonts w:ascii="Times New Roman" w:hAnsi="Times New Roman" w:cs="Times New Roman"/>
          <w:sz w:val="24"/>
          <w:szCs w:val="24"/>
        </w:rPr>
      </w:pPr>
      <w:r w:rsidRPr="00E927EF">
        <w:rPr>
          <w:rFonts w:ascii="Times New Roman" w:hAnsi="Times New Roman" w:cs="Times New Roman"/>
          <w:sz w:val="24"/>
          <w:szCs w:val="24"/>
        </w:rPr>
        <w:t>Prijenos sredstava u financijskom planu za 2024</w:t>
      </w:r>
      <w:r w:rsidR="00B41889">
        <w:rPr>
          <w:rFonts w:ascii="Times New Roman" w:hAnsi="Times New Roman" w:cs="Times New Roman"/>
          <w:sz w:val="24"/>
          <w:szCs w:val="24"/>
        </w:rPr>
        <w:t>.</w:t>
      </w:r>
      <w:r w:rsidRPr="00E927EF">
        <w:rPr>
          <w:rFonts w:ascii="Times New Roman" w:hAnsi="Times New Roman" w:cs="Times New Roman"/>
          <w:sz w:val="24"/>
          <w:szCs w:val="24"/>
        </w:rPr>
        <w:t>-2026</w:t>
      </w:r>
      <w:r w:rsidR="00B41889">
        <w:rPr>
          <w:rFonts w:ascii="Times New Roman" w:hAnsi="Times New Roman" w:cs="Times New Roman"/>
          <w:sz w:val="24"/>
          <w:szCs w:val="24"/>
        </w:rPr>
        <w:t>. godine</w:t>
      </w:r>
      <w:r w:rsidRPr="00E927EF">
        <w:rPr>
          <w:rFonts w:ascii="Times New Roman" w:hAnsi="Times New Roman" w:cs="Times New Roman"/>
          <w:sz w:val="24"/>
          <w:szCs w:val="24"/>
        </w:rPr>
        <w:t xml:space="preserve"> planiran je iz izvora 31</w:t>
      </w:r>
      <w:r w:rsidR="00B32464" w:rsidRPr="00E927EF">
        <w:rPr>
          <w:rFonts w:ascii="Times New Roman" w:hAnsi="Times New Roman" w:cs="Times New Roman"/>
          <w:sz w:val="24"/>
          <w:szCs w:val="24"/>
        </w:rPr>
        <w:t xml:space="preserve"> Vlastiti prihodi</w:t>
      </w:r>
      <w:r w:rsidRPr="00E927EF">
        <w:rPr>
          <w:rFonts w:ascii="Times New Roman" w:hAnsi="Times New Roman" w:cs="Times New Roman"/>
          <w:sz w:val="24"/>
          <w:szCs w:val="24"/>
        </w:rPr>
        <w:t>, 51</w:t>
      </w:r>
      <w:r w:rsidR="00B32464" w:rsidRPr="00E927EF">
        <w:rPr>
          <w:rFonts w:ascii="Times New Roman" w:hAnsi="Times New Roman" w:cs="Times New Roman"/>
          <w:sz w:val="24"/>
          <w:szCs w:val="24"/>
        </w:rPr>
        <w:t xml:space="preserve"> Pomoći EU</w:t>
      </w:r>
      <w:r w:rsidRPr="00E927EF">
        <w:rPr>
          <w:rFonts w:ascii="Times New Roman" w:hAnsi="Times New Roman" w:cs="Times New Roman"/>
          <w:sz w:val="24"/>
          <w:szCs w:val="24"/>
        </w:rPr>
        <w:t xml:space="preserve"> i 84 </w:t>
      </w:r>
      <w:r w:rsidR="00B32464" w:rsidRPr="00E927EF">
        <w:rPr>
          <w:rFonts w:ascii="Times New Roman" w:hAnsi="Times New Roman" w:cs="Times New Roman"/>
          <w:sz w:val="24"/>
          <w:szCs w:val="24"/>
        </w:rPr>
        <w:t xml:space="preserve">Namjenski primici od povrata glavnica danih zajmova </w:t>
      </w:r>
      <w:r w:rsidRPr="00E927EF">
        <w:rPr>
          <w:rFonts w:ascii="Times New Roman" w:hAnsi="Times New Roman" w:cs="Times New Roman"/>
          <w:sz w:val="24"/>
          <w:szCs w:val="24"/>
        </w:rPr>
        <w:t>i u slijedećim iznosima:</w:t>
      </w:r>
    </w:p>
    <w:p w14:paraId="46C5ACF2" w14:textId="3065513D" w:rsidR="00B2038B" w:rsidRDefault="006F1F62" w:rsidP="00E927EF">
      <w:pPr>
        <w:rPr>
          <w:b/>
          <w:bCs/>
        </w:rPr>
      </w:pPr>
      <w:r w:rsidRPr="006F1F62">
        <w:drawing>
          <wp:inline distT="0" distB="0" distL="0" distR="0" wp14:anchorId="491F8981" wp14:editId="7B516E16">
            <wp:extent cx="5943600" cy="1240404"/>
            <wp:effectExtent l="0" t="0" r="0" b="0"/>
            <wp:docPr id="139578938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18" cy="12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E089" w14:textId="5894A133" w:rsidR="00127105" w:rsidRDefault="00B41889" w:rsidP="001271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BF">
        <w:rPr>
          <w:rFonts w:ascii="Times New Roman" w:hAnsi="Times New Roman" w:cs="Times New Roman"/>
          <w:bCs/>
          <w:sz w:val="24"/>
          <w:szCs w:val="24"/>
        </w:rPr>
        <w:t xml:space="preserve">U kategoriji donosa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9F7FB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F7FBF">
        <w:rPr>
          <w:rFonts w:ascii="Times New Roman" w:hAnsi="Times New Roman" w:cs="Times New Roman"/>
          <w:bCs/>
          <w:sz w:val="24"/>
          <w:szCs w:val="24"/>
        </w:rPr>
        <w:t xml:space="preserve">. godinu planirano je ukupno </w:t>
      </w:r>
      <w:r>
        <w:rPr>
          <w:rFonts w:ascii="Times New Roman" w:hAnsi="Times New Roman" w:cs="Times New Roman"/>
          <w:bCs/>
          <w:sz w:val="24"/>
          <w:szCs w:val="24"/>
        </w:rPr>
        <w:t>38.000,00</w:t>
      </w:r>
      <w:r w:rsidRPr="009F7FBF">
        <w:rPr>
          <w:rFonts w:ascii="Times New Roman" w:hAnsi="Times New Roman" w:cs="Times New Roman"/>
          <w:bCs/>
          <w:sz w:val="24"/>
          <w:szCs w:val="24"/>
        </w:rPr>
        <w:t xml:space="preserve"> EUR koji se odnose na Izvor</w:t>
      </w:r>
      <w:r>
        <w:rPr>
          <w:rFonts w:ascii="Times New Roman" w:hAnsi="Times New Roman" w:cs="Times New Roman"/>
          <w:bCs/>
          <w:sz w:val="24"/>
          <w:szCs w:val="24"/>
        </w:rPr>
        <w:t xml:space="preserve"> 31 Vlastiti prihodi, zatim iz Izvora</w:t>
      </w:r>
      <w:r w:rsidRPr="009F7FBF">
        <w:rPr>
          <w:rFonts w:ascii="Times New Roman" w:hAnsi="Times New Roman" w:cs="Times New Roman"/>
          <w:bCs/>
          <w:sz w:val="24"/>
          <w:szCs w:val="24"/>
        </w:rPr>
        <w:t xml:space="preserve"> 51 Pomoći EU</w:t>
      </w:r>
      <w:r>
        <w:rPr>
          <w:rFonts w:ascii="Times New Roman" w:hAnsi="Times New Roman" w:cs="Times New Roman"/>
          <w:bCs/>
          <w:sz w:val="24"/>
          <w:szCs w:val="24"/>
        </w:rPr>
        <w:t xml:space="preserve"> u ukupnom iznosu od 475.790,00 EUR</w:t>
      </w:r>
      <w:r w:rsidRPr="009F7FBF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169.343.555,00</w:t>
      </w:r>
      <w:r w:rsidRPr="009F7FBF">
        <w:rPr>
          <w:rFonts w:ascii="Times New Roman" w:hAnsi="Times New Roman" w:cs="Times New Roman"/>
          <w:bCs/>
          <w:sz w:val="24"/>
          <w:szCs w:val="24"/>
        </w:rPr>
        <w:t xml:space="preserve"> EUR koji se odnosi na izvor 84  Namjenski primici od povrata glavnica danih zajmova. </w:t>
      </w:r>
      <w:bookmarkStart w:id="2" w:name="_Hlk148603411"/>
      <w:bookmarkEnd w:id="1"/>
    </w:p>
    <w:p w14:paraId="6162EC29" w14:textId="77777777" w:rsidR="00127105" w:rsidRDefault="00127105" w:rsidP="001271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78D89E" w14:textId="77777777" w:rsidR="00127105" w:rsidRDefault="00127105" w:rsidP="001271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CC102" w14:textId="77777777" w:rsidR="00127105" w:rsidRDefault="00127105" w:rsidP="001271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C5DA9" w14:textId="77777777" w:rsidR="00127105" w:rsidRDefault="00127105" w:rsidP="001271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619E5A" w14:textId="77777777" w:rsidR="00127105" w:rsidRPr="00127105" w:rsidRDefault="00127105" w:rsidP="00127105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41BC293" w14:textId="7F5D80FE" w:rsidR="00835A64" w:rsidRPr="00835A64" w:rsidRDefault="00835A64" w:rsidP="00835A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A64">
        <w:rPr>
          <w:rFonts w:ascii="Times New Roman" w:hAnsi="Times New Roman" w:cs="Times New Roman"/>
          <w:b/>
          <w:bCs/>
          <w:sz w:val="24"/>
          <w:szCs w:val="24"/>
        </w:rPr>
        <w:lastRenderedPageBreak/>
        <w:t>UKUPNE I DOSPJELE OBVEZE</w:t>
      </w:r>
    </w:p>
    <w:p w14:paraId="57E98463" w14:textId="4F7E6B9E" w:rsidR="00835A64" w:rsidRPr="00835A64" w:rsidRDefault="00835A64" w:rsidP="00835A64">
      <w:pPr>
        <w:jc w:val="both"/>
        <w:rPr>
          <w:rFonts w:ascii="Times New Roman" w:hAnsi="Times New Roman" w:cs="Times New Roman"/>
          <w:sz w:val="24"/>
          <w:szCs w:val="24"/>
        </w:rPr>
      </w:pPr>
      <w:r w:rsidRPr="00835A64">
        <w:rPr>
          <w:rFonts w:ascii="Times New Roman" w:hAnsi="Times New Roman" w:cs="Times New Roman"/>
          <w:sz w:val="24"/>
          <w:szCs w:val="24"/>
        </w:rPr>
        <w:t xml:space="preserve">Prikaz stanja ukupnih i dospjelih obveza </w:t>
      </w:r>
      <w:r>
        <w:rPr>
          <w:rFonts w:ascii="Times New Roman" w:hAnsi="Times New Roman" w:cs="Times New Roman"/>
          <w:sz w:val="24"/>
          <w:szCs w:val="24"/>
        </w:rPr>
        <w:t xml:space="preserve">HAMAG - </w:t>
      </w:r>
      <w:proofErr w:type="spellStart"/>
      <w:r>
        <w:rPr>
          <w:rFonts w:ascii="Times New Roman" w:hAnsi="Times New Roman" w:cs="Times New Roman"/>
          <w:sz w:val="24"/>
          <w:szCs w:val="24"/>
        </w:rPr>
        <w:t>BICROa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A64">
        <w:rPr>
          <w:rFonts w:ascii="Times New Roman" w:hAnsi="Times New Roman" w:cs="Times New Roman"/>
          <w:sz w:val="24"/>
          <w:szCs w:val="24"/>
        </w:rPr>
        <w:t>na dan 31. prosinca prethodne godine i na dan 30. lipnja tekuće godine</w:t>
      </w:r>
      <w:r>
        <w:rPr>
          <w:rFonts w:ascii="Times New Roman" w:hAnsi="Times New Roman" w:cs="Times New Roman"/>
          <w:sz w:val="24"/>
          <w:szCs w:val="24"/>
        </w:rPr>
        <w:t xml:space="preserve"> kako slijedi</w:t>
      </w:r>
      <w:r w:rsidRPr="00835A64">
        <w:rPr>
          <w:rFonts w:ascii="Times New Roman" w:hAnsi="Times New Roman" w:cs="Times New Roman"/>
          <w:sz w:val="24"/>
          <w:szCs w:val="24"/>
        </w:rPr>
        <w:t>:</w:t>
      </w:r>
    </w:p>
    <w:bookmarkEnd w:id="2"/>
    <w:p w14:paraId="7ACE23F3" w14:textId="1D4D1124" w:rsidR="00835A64" w:rsidRPr="00CC4A4F" w:rsidRDefault="00556DF3" w:rsidP="00E927EF">
      <w:pPr>
        <w:rPr>
          <w:b/>
          <w:bCs/>
        </w:rPr>
      </w:pPr>
      <w:r w:rsidRPr="00556DF3">
        <w:rPr>
          <w:noProof/>
        </w:rPr>
        <w:drawing>
          <wp:inline distT="0" distB="0" distL="0" distR="0" wp14:anchorId="4A4AFE0C" wp14:editId="7AC41E16">
            <wp:extent cx="5924550" cy="678044"/>
            <wp:effectExtent l="0" t="0" r="0" b="8255"/>
            <wp:docPr id="2050994630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99" cy="6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A64" w:rsidRPr="00CC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206C" w14:textId="77777777" w:rsidR="0032654B" w:rsidRDefault="0032654B" w:rsidP="00927976">
      <w:pPr>
        <w:spacing w:after="0" w:line="240" w:lineRule="auto"/>
      </w:pPr>
      <w:r>
        <w:separator/>
      </w:r>
    </w:p>
  </w:endnote>
  <w:endnote w:type="continuationSeparator" w:id="0">
    <w:p w14:paraId="0B69618A" w14:textId="77777777" w:rsidR="0032654B" w:rsidRDefault="0032654B" w:rsidP="009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AEB3" w14:textId="77777777" w:rsidR="0032654B" w:rsidRDefault="0032654B" w:rsidP="00927976">
      <w:pPr>
        <w:spacing w:after="0" w:line="240" w:lineRule="auto"/>
      </w:pPr>
      <w:r>
        <w:separator/>
      </w:r>
    </w:p>
  </w:footnote>
  <w:footnote w:type="continuationSeparator" w:id="0">
    <w:p w14:paraId="081C2C30" w14:textId="77777777" w:rsidR="0032654B" w:rsidRDefault="0032654B" w:rsidP="0092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37B"/>
    <w:multiLevelType w:val="hybridMultilevel"/>
    <w:tmpl w:val="F000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80136"/>
    <w:multiLevelType w:val="hybridMultilevel"/>
    <w:tmpl w:val="242C296E"/>
    <w:lvl w:ilvl="0" w:tplc="3EFA84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19AC"/>
    <w:multiLevelType w:val="hybridMultilevel"/>
    <w:tmpl w:val="A78C1860"/>
    <w:lvl w:ilvl="0" w:tplc="65A2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86002"/>
    <w:multiLevelType w:val="hybridMultilevel"/>
    <w:tmpl w:val="888CE072"/>
    <w:lvl w:ilvl="0" w:tplc="DB62E0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F55094"/>
    <w:multiLevelType w:val="hybridMultilevel"/>
    <w:tmpl w:val="81A0435E"/>
    <w:lvl w:ilvl="0" w:tplc="1930C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35190">
    <w:abstractNumId w:val="1"/>
  </w:num>
  <w:num w:numId="2" w16cid:durableId="1464032368">
    <w:abstractNumId w:val="0"/>
  </w:num>
  <w:num w:numId="3" w16cid:durableId="1368263127">
    <w:abstractNumId w:val="2"/>
  </w:num>
  <w:num w:numId="4" w16cid:durableId="443960017">
    <w:abstractNumId w:val="3"/>
  </w:num>
  <w:num w:numId="5" w16cid:durableId="1285574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76"/>
    <w:rsid w:val="0007456F"/>
    <w:rsid w:val="000B2223"/>
    <w:rsid w:val="000D0996"/>
    <w:rsid w:val="00123199"/>
    <w:rsid w:val="00127105"/>
    <w:rsid w:val="001466A1"/>
    <w:rsid w:val="001714A2"/>
    <w:rsid w:val="00184F8A"/>
    <w:rsid w:val="001A55AC"/>
    <w:rsid w:val="001C0C63"/>
    <w:rsid w:val="002054BD"/>
    <w:rsid w:val="00287CFF"/>
    <w:rsid w:val="002905B0"/>
    <w:rsid w:val="002A7996"/>
    <w:rsid w:val="002D6DC4"/>
    <w:rsid w:val="0032654B"/>
    <w:rsid w:val="003B7D0E"/>
    <w:rsid w:val="004414AB"/>
    <w:rsid w:val="00443DB7"/>
    <w:rsid w:val="00556DF3"/>
    <w:rsid w:val="005724C6"/>
    <w:rsid w:val="005F62A1"/>
    <w:rsid w:val="006F1F62"/>
    <w:rsid w:val="006F5D34"/>
    <w:rsid w:val="007104DF"/>
    <w:rsid w:val="007128F9"/>
    <w:rsid w:val="0076286F"/>
    <w:rsid w:val="00785799"/>
    <w:rsid w:val="007C1349"/>
    <w:rsid w:val="00806CF0"/>
    <w:rsid w:val="00814756"/>
    <w:rsid w:val="00835A64"/>
    <w:rsid w:val="008C432E"/>
    <w:rsid w:val="00927976"/>
    <w:rsid w:val="009E0BBE"/>
    <w:rsid w:val="00AA71B7"/>
    <w:rsid w:val="00AD5A24"/>
    <w:rsid w:val="00AF2D3E"/>
    <w:rsid w:val="00B2038B"/>
    <w:rsid w:val="00B32464"/>
    <w:rsid w:val="00B41889"/>
    <w:rsid w:val="00B558FE"/>
    <w:rsid w:val="00BB36B2"/>
    <w:rsid w:val="00BF59FB"/>
    <w:rsid w:val="00C2763E"/>
    <w:rsid w:val="00CC4A4F"/>
    <w:rsid w:val="00CD0C83"/>
    <w:rsid w:val="00CE2C37"/>
    <w:rsid w:val="00D33AF1"/>
    <w:rsid w:val="00D41533"/>
    <w:rsid w:val="00D752A7"/>
    <w:rsid w:val="00DA3A6E"/>
    <w:rsid w:val="00DB260D"/>
    <w:rsid w:val="00E02ACC"/>
    <w:rsid w:val="00E15221"/>
    <w:rsid w:val="00E35C0B"/>
    <w:rsid w:val="00E36F72"/>
    <w:rsid w:val="00E569DB"/>
    <w:rsid w:val="00E927EF"/>
    <w:rsid w:val="00ED4B69"/>
    <w:rsid w:val="00EF41D5"/>
    <w:rsid w:val="00F72D15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0C2"/>
  <w15:chartTrackingRefBased/>
  <w15:docId w15:val="{07C84F5E-956C-440D-9AFF-9F2F0BA2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FF"/>
    <w:pPr>
      <w:spacing w:after="200" w:line="276" w:lineRule="auto"/>
    </w:pPr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aksta">
    <w:name w:val="tijelo taksta"/>
    <w:basedOn w:val="Normal"/>
    <w:link w:val="tijelotakstaChar"/>
    <w:qFormat/>
    <w:rsid w:val="0092797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tijelotakstaChar">
    <w:name w:val="tijelo taksta Char"/>
    <w:basedOn w:val="Zadanifontodlomka"/>
    <w:link w:val="tijelotaksta"/>
    <w:rsid w:val="00927976"/>
    <w:rPr>
      <w:rFonts w:ascii="Calibri" w:eastAsia="Times New Roman" w:hAnsi="Calibri" w:cs="Times New Roman"/>
      <w:kern w:val="0"/>
      <w:sz w:val="24"/>
      <w:szCs w:val="24"/>
      <w:lang w:val="hr-HR" w:eastAsia="hr-HR"/>
      <w14:ligatures w14:val="none"/>
    </w:rPr>
  </w:style>
  <w:style w:type="table" w:styleId="Svijetlatablicareetke1">
    <w:name w:val="Grid Table 1 Light"/>
    <w:basedOn w:val="Obinatablica"/>
    <w:uiPriority w:val="46"/>
    <w:rsid w:val="00927976"/>
    <w:pPr>
      <w:spacing w:after="0" w:line="240" w:lineRule="auto"/>
    </w:pPr>
    <w:rPr>
      <w:kern w:val="0"/>
      <w:lang w:val="hr-HR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9279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79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976"/>
    <w:rPr>
      <w:kern w:val="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279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976"/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Marija Magdalena Vukušić</cp:lastModifiedBy>
  <cp:revision>30</cp:revision>
  <dcterms:created xsi:type="dcterms:W3CDTF">2023-10-06T06:54:00Z</dcterms:created>
  <dcterms:modified xsi:type="dcterms:W3CDTF">2023-12-12T09:43:00Z</dcterms:modified>
</cp:coreProperties>
</file>