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725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2774F3D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627A4DC" w14:textId="46673512" w:rsidR="001778F6" w:rsidRDefault="001778F6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EC41D4">
        <w:rPr>
          <w:rFonts w:ascii="Arial" w:hAnsi="Arial" w:cs="Arial"/>
          <w:b/>
          <w:sz w:val="22"/>
          <w:szCs w:val="22"/>
          <w:lang w:val="hr-HR"/>
        </w:rPr>
        <w:t>II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</w:p>
    <w:p w14:paraId="69EC739F" w14:textId="77777777" w:rsidR="001778F6" w:rsidRDefault="001778F6" w:rsidP="001778F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F1C8396" w14:textId="77777777" w:rsidR="001778F6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>IZJAVA 1</w:t>
      </w:r>
    </w:p>
    <w:p w14:paraId="73F0EFC0" w14:textId="77777777" w:rsidR="001778F6" w:rsidRPr="000F1D03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 w:rsidRPr="00244E42">
        <w:rPr>
          <w:rFonts w:ascii="Arial" w:hAnsi="Arial" w:cs="Arial"/>
          <w:b/>
          <w:color w:val="000000"/>
          <w:szCs w:val="24"/>
          <w:lang w:val="hr-HR"/>
        </w:rPr>
        <w:t xml:space="preserve">IZJAVA O NEPOSTOJANJU SITUACIJE ZA ISKLJUČIVANJE </w:t>
      </w:r>
    </w:p>
    <w:p w14:paraId="7D2A85EB" w14:textId="77777777" w:rsidR="00CB1859" w:rsidRDefault="00CB1859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63607B3C" w14:textId="77777777" w:rsidR="001778F6" w:rsidRPr="00940B30" w:rsidRDefault="001778F6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  <w:r w:rsidRPr="00940B30">
        <w:rPr>
          <w:rFonts w:ascii="Arial" w:hAnsi="Arial" w:cs="Arial"/>
          <w:color w:val="000000"/>
          <w:sz w:val="22"/>
          <w:szCs w:val="22"/>
          <w:lang w:val="hr-HR"/>
        </w:rPr>
        <w:t>Dolje potpisani potvrđuje da se ne nalazi ni u jednoj od situacija koja bi ga mogla isključiti iz sudjelovanja u ovome pozivu za iskaz interesa i prema tome objavljuje da:</w:t>
      </w:r>
    </w:p>
    <w:p w14:paraId="0764982C" w14:textId="77777777" w:rsidR="001778F6" w:rsidRPr="00940B30" w:rsidRDefault="001778F6" w:rsidP="001778F6">
      <w:pPr>
        <w:spacing w:after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92E8EA0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nije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u stečaju, u postupku u slučaju nesolventnosti ili u postupku likvidacije, njegovom imovinom ne upravlja stečajni upravitelj ili sud, nije u nagodbi s vjerovnicima, nisu mu poslovne aktivnosti suspendirane i nije u ni jednoj istovrsnoj situaciji koja proizlazi iz sličnog postupka predviđenog nacionalnim zakonima ili drugim propisima;</w:t>
      </w:r>
    </w:p>
    <w:p w14:paraId="4A226445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46D843C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krši svoje obveze u vezi s plaćanjem poreza ili doprinosa za socijalno osiguranje u skladu s pravom zemlje u kojoj ima poslovni </w:t>
      </w:r>
      <w:proofErr w:type="spellStart"/>
      <w:r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940B30">
        <w:rPr>
          <w:rFonts w:ascii="Arial" w:hAnsi="Arial" w:cs="Arial"/>
          <w:sz w:val="22"/>
          <w:szCs w:val="22"/>
          <w:lang w:val="hr-HR"/>
        </w:rPr>
        <w:t>, zemlje u kojoj se nalazi javni naručitelj ili zemlje u kojoj se izvršava ugovor;</w:t>
      </w:r>
    </w:p>
    <w:p w14:paraId="1876AB1F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1B8F7604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je/su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  i/ili osoba ovlaštena za zastupanje, donošenje odluka i kontrole nad istom, kriva za tešku povredu dužnosti zbog kršenja primjenjivih zakona ili drugih propisa ili etičkih normi profesije kojoj Financijska institucija pripada ili zbog protu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pravnog postupanja koje utječe na njegovu profesionalnu vjerodostojnost u slučaju da se takvim postupanjem pokazuje protuzakonita namjera ili gruba nepažnja, uključujući posebno bilo koje od sljedećih postupanja: </w:t>
      </w:r>
    </w:p>
    <w:p w14:paraId="69AF424E" w14:textId="77777777" w:rsidR="00CB1859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>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prijevarno ili nesavjesno lažno predstavljanje podataka potrebnih za provjeru nepostojanja osnova za isključenje ili ispunjenja kriterija za odabir ili prilikom izvršenja ugovora; </w:t>
      </w:r>
    </w:p>
    <w:p w14:paraId="038F95CA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ii. Dogovaranje s drugim gospodarskim subjektima radi narušavanja tržišnog natjecanja; </w:t>
      </w:r>
    </w:p>
    <w:p w14:paraId="367205A1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Kršenje prava intelektualnog vlasništva; iv. Pokušaj da se utječe na proces odlučivanja javnog naručitelja tijekom postupka nabave; </w:t>
      </w:r>
    </w:p>
    <w:p w14:paraId="4F4EC183" w14:textId="77777777" w:rsidR="001778F6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v. pokušaj da se dobiju povjerljive informacije koje bi mu mogle omogućiti nepoštenu prednost u postupku nabave;</w:t>
      </w:r>
    </w:p>
    <w:p w14:paraId="1B629822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0730627" w14:textId="77777777" w:rsid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konačnom presudom nije utvrđeno da je Financijska institucija kriva za bilo što od sljedećeg: i. prijevaru u smislu Članka 1. Konvencije o zaštiti financijskih interesa Europskih zajednica, sastavljene Aktom Vijeća od 26. srpnja 1995. (*); </w:t>
      </w:r>
    </w:p>
    <w:p w14:paraId="47BFC9AE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3A8E4F1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ii. Korupciju kako je definirana u Članku 3. Konvencije o borbi protiv korupcije koja uključuje dužnosnike Europskih zajednica ili dužnosnike država članica Europske unije, sastavljene Aktom Vijeća od 26. svibnja 1997. (**), i Članku 2. stavku 1. Okvirne odluke Vijeća 2003/568/PUP (***), kao i korupciju kako je definirana u pravu zemlje u kojoj se nalazi javni </w:t>
      </w:r>
    </w:p>
    <w:p w14:paraId="2163A507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aručitelj, zemlje u 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ojoj gospodarski subjekt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ima poslovni </w:t>
      </w:r>
      <w:proofErr w:type="spellStart"/>
      <w:r w:rsidR="001778F6"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 ili zemlje u kojoj se izvršava ugovor; </w:t>
      </w:r>
    </w:p>
    <w:p w14:paraId="06BECF38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Sudjelovanje u zločinačkoj organizaciji, kako je definirano u Članku 2. Okvirne odluke Vijeća 2008/841/PUP (****); </w:t>
      </w:r>
    </w:p>
    <w:p w14:paraId="61204A5E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iv.</w:t>
      </w:r>
      <w:r w:rsidR="00CB1859">
        <w:rPr>
          <w:rFonts w:ascii="Arial" w:hAnsi="Arial" w:cs="Arial"/>
          <w:sz w:val="22"/>
          <w:szCs w:val="22"/>
          <w:lang w:val="hr-HR"/>
        </w:rPr>
        <w:t xml:space="preserve"> </w:t>
      </w:r>
      <w:r w:rsidRPr="00940B30">
        <w:rPr>
          <w:rFonts w:ascii="Arial" w:hAnsi="Arial" w:cs="Arial"/>
          <w:sz w:val="22"/>
          <w:szCs w:val="22"/>
          <w:lang w:val="hr-HR"/>
        </w:rPr>
        <w:t>Pranje novca ili financiranje terorizma, kako je definirano u Članku 1. Direktive 2005/60/EZ Europskog parlamenta i Vijeća (*****); v. kaznena djela terorizma ili kaznena djela povezana s terorističkim aktivnostima, kako su definirana u Članku 1. odnosno Članku 3. Okvirne odluke Vijeća 2002/475/PUP (******), ili poticanje, pomaganje, potpora ili pokušaj počinjenja takvih kaznenih djela, kako je navedeno u Članku 4. te odluke; vi. Dječji rad i druge oblike trgovanja ljudima, kako je definirano u Članku 2. Direktive 2011/36/EU Europskog parlamenta i Vijeća (*******)</w:t>
      </w:r>
      <w:r w:rsidRPr="00940B30">
        <w:rPr>
          <w:rStyle w:val="Referencafusnote"/>
          <w:rFonts w:ascii="Arial" w:hAnsi="Arial" w:cs="Arial"/>
          <w:sz w:val="22"/>
          <w:szCs w:val="22"/>
          <w:lang w:val="hr-HR"/>
        </w:rPr>
        <w:footnoteReference w:id="1"/>
      </w:r>
      <w:r w:rsidRPr="00940B30">
        <w:rPr>
          <w:rFonts w:ascii="Arial" w:hAnsi="Arial" w:cs="Arial"/>
          <w:sz w:val="22"/>
          <w:szCs w:val="22"/>
          <w:lang w:val="hr-HR"/>
        </w:rPr>
        <w:t>;</w:t>
      </w:r>
    </w:p>
    <w:p w14:paraId="2ED1ECBD" w14:textId="77777777" w:rsidR="00CB1859" w:rsidRPr="00940B30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673DA6A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naveden u središnjoj bazi podataka o isključenjima koju je uspostavila i koju vodi EK prema Uredbi Komisije (EZ, Euratom) br. 1302/2008 od 17. prosinca 2008. o središnjoj bazi podataka o isključenjima;</w:t>
      </w:r>
    </w:p>
    <w:p w14:paraId="658EE07C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546D5EE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osnovan na državnim područjima čije nadležnosti ne surađuju s EU u vezi s primjenom međunarodno dogovorenih poreznih standarda ili u svojoj poreznoj praksi ne poštuju načela Preporuke EK od 6. prosinca 2012. o mjerama kojima je cilj poticati treće zemlje na primjenu minimalnih standarda dobrog upravljanja u poreznim stvarima (C(2012)8805);</w:t>
      </w:r>
    </w:p>
    <w:p w14:paraId="7989DFFA" w14:textId="77777777" w:rsidR="00CB1859" w:rsidRDefault="00CB1859" w:rsidP="00CB185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396275D4" w14:textId="77777777" w:rsidR="00CB1859" w:rsidRDefault="00CB1859" w:rsidP="00CB185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114F112C" w14:textId="77777777" w:rsidR="00CB1859" w:rsidRDefault="00CB1859" w:rsidP="00CB185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21527F95" w14:textId="77777777" w:rsidR="00CB1859" w:rsidRDefault="00CB1859" w:rsidP="00CB185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74F52C40" w14:textId="77777777" w:rsidR="00CB1859" w:rsidRDefault="00CB1859" w:rsidP="00CB185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7CAF8B22" w14:textId="77777777" w:rsid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 xml:space="preserve">njegova poslovna aktivnost ne spada u bilo koji od tzv. </w:t>
      </w:r>
      <w:r w:rsidR="00D521FD">
        <w:rPr>
          <w:rFonts w:ascii="Arial" w:hAnsi="Arial" w:cs="Arial"/>
          <w:sz w:val="22"/>
          <w:szCs w:val="22"/>
          <w:lang w:val="hr-HR"/>
        </w:rPr>
        <w:t>o</w:t>
      </w:r>
      <w:r w:rsidRPr="00CB1859">
        <w:rPr>
          <w:rFonts w:ascii="Arial" w:hAnsi="Arial" w:cs="Arial"/>
          <w:sz w:val="22"/>
          <w:szCs w:val="22"/>
          <w:lang w:val="hr-HR"/>
        </w:rPr>
        <w:t>graničenih sektora definiranih Programom</w:t>
      </w:r>
      <w:r w:rsidR="00CB1859" w:rsidRPr="00CB1859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579892A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2900D2A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Točke od </w:t>
      </w:r>
      <w:r>
        <w:rPr>
          <w:rFonts w:ascii="Arial" w:hAnsi="Arial" w:cs="Arial"/>
          <w:sz w:val="22"/>
          <w:szCs w:val="22"/>
          <w:lang w:val="hr-HR"/>
        </w:rPr>
        <w:t>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do (d) ne primjenjuju se ako ponuditelji mogu dokazati da su donesene odgovarajuće mjere protiv osoba ovlaštenih za zastupanje, odlučivanje ili kontrolu nad njima, na koje se primjenjuje odluka iz točaka</w:t>
      </w:r>
      <w:r>
        <w:rPr>
          <w:rFonts w:ascii="Arial" w:hAnsi="Arial" w:cs="Arial"/>
          <w:sz w:val="22"/>
          <w:szCs w:val="22"/>
          <w:lang w:val="hr-HR"/>
        </w:rPr>
        <w:t xml:space="preserve"> 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ili (d).</w:t>
      </w:r>
    </w:p>
    <w:p w14:paraId="7B55D64D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270B4435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76445F05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Pečat podnositelja</w:t>
      </w:r>
    </w:p>
    <w:p w14:paraId="37FE44BE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30A005AA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06062008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</w:p>
    <w:p w14:paraId="34077B25" w14:textId="77777777" w:rsidR="001778F6" w:rsidRPr="00EA616C" w:rsidRDefault="001778F6" w:rsidP="001778F6">
      <w:pPr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1E0C02AD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4DCF5E38" w14:textId="77777777" w:rsidR="001778F6" w:rsidRPr="001778F6" w:rsidRDefault="001778F6" w:rsidP="001778F6"/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1EFA" w14:textId="77777777" w:rsidR="0073785A" w:rsidRDefault="0073785A" w:rsidP="00BF42A1">
      <w:pPr>
        <w:spacing w:after="0"/>
      </w:pPr>
      <w:r>
        <w:separator/>
      </w:r>
    </w:p>
  </w:endnote>
  <w:endnote w:type="continuationSeparator" w:id="0">
    <w:p w14:paraId="6C815337" w14:textId="77777777" w:rsidR="0073785A" w:rsidRDefault="0073785A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D1A" w14:textId="77777777" w:rsidR="0073785A" w:rsidRDefault="0073785A" w:rsidP="00BF42A1">
      <w:pPr>
        <w:spacing w:after="0"/>
      </w:pPr>
      <w:r>
        <w:separator/>
      </w:r>
    </w:p>
  </w:footnote>
  <w:footnote w:type="continuationSeparator" w:id="0">
    <w:p w14:paraId="5BB421C4" w14:textId="77777777" w:rsidR="0073785A" w:rsidRDefault="0073785A" w:rsidP="00BF42A1">
      <w:pPr>
        <w:spacing w:after="0"/>
      </w:pPr>
      <w:r>
        <w:continuationSeparator/>
      </w:r>
    </w:p>
  </w:footnote>
  <w:footnote w:id="1">
    <w:p w14:paraId="620320D0" w14:textId="77777777" w:rsidR="001778F6" w:rsidRDefault="001778F6" w:rsidP="001778F6">
      <w:pPr>
        <w:pStyle w:val="Tekstfusnote"/>
        <w:rPr>
          <w:rFonts w:ascii="Arial" w:hAnsi="Arial" w:cs="Arial"/>
          <w:lang w:val="hr-HR"/>
        </w:rPr>
      </w:pPr>
      <w:r w:rsidRPr="00595C7D">
        <w:rPr>
          <w:rStyle w:val="Referencafusnote"/>
          <w:lang w:val="hr-HR"/>
        </w:rPr>
        <w:footnoteRef/>
      </w:r>
      <w:r w:rsidRPr="00595C7D">
        <w:rPr>
          <w:lang w:val="hr-HR"/>
        </w:rPr>
        <w:t xml:space="preserve"> </w:t>
      </w:r>
      <w:r>
        <w:rPr>
          <w:lang w:val="hr-HR"/>
        </w:rPr>
        <w:t>(</w:t>
      </w:r>
      <w:r w:rsidRPr="009F07A3">
        <w:rPr>
          <w:rFonts w:ascii="Arial" w:hAnsi="Arial" w:cs="Arial"/>
          <w:lang w:val="hr-HR"/>
        </w:rPr>
        <w:t>*) SL C 316, 27.11.1995., str. 48. (**) SL C 195, 25.6.1997., str. 1. (***) Okvirna odluka Vijeća 2003/568/PUP od 22. srpnja 2003. o borbi protiv korupcije u privatnom sektoru (SL L 192, 31.7.2003., str. 54.). (****) Okvirna odluka Vijeća 2008/841/PUP od 24. listopada 2008. o borbi protiv organiziranog kriminala (SL L 300, 11.11.2008., str. 42.). (*****) Direktiva 2005/60/EZ Europskog parlamenta i Vijeća od 26. listopada 2005. o sprečavanju korištenja financijskog sustava u svrhu pranja novca i financiranja terorizma (SL L 309, 25.11.2005., str. 15.). (******) Okvirna odluka Vijeća 2002/475/PUP od 13. lipnja 2002. o suzbijanju terorizma (SL L 164, 22.6.2002., str. 3.). (*******) Direktiva 2011/36/EU Europskog parlamenta i Vijeća od 5. travnja 2011. o sprečavanju i suzbijanju trgovanja ljudima i zaštiti njegovih žrtava te o zamjeni Okvirne odluke Vijeća 2002/629/PUP (SL L 101, 15.4.2011., str. 1.). (********) Uredba Vijeća (EZ, Euratom) br. 2988/95 od 18. prosinca 1995. o zaštiti financijskih interesa Europskih zajednica (SL L 312, 23.12.1995., str. 1.).”;</w:t>
      </w:r>
    </w:p>
    <w:p w14:paraId="2D0EA541" w14:textId="77777777" w:rsidR="001778F6" w:rsidRDefault="001778F6" w:rsidP="001778F6">
      <w:pPr>
        <w:pStyle w:val="Tekstfusnote"/>
        <w:rPr>
          <w:rFonts w:ascii="Arial" w:hAnsi="Arial" w:cs="Arial"/>
          <w:lang w:val="hr-HR"/>
        </w:rPr>
      </w:pPr>
    </w:p>
    <w:p w14:paraId="25E6725A" w14:textId="77777777" w:rsidR="001778F6" w:rsidRDefault="001778F6" w:rsidP="001778F6">
      <w:pPr>
        <w:pStyle w:val="Tekstfusnote"/>
        <w:rPr>
          <w:rFonts w:ascii="Arial" w:hAnsi="Arial" w:cs="Arial"/>
          <w:lang w:val="hr-HR"/>
        </w:rPr>
      </w:pPr>
    </w:p>
    <w:p w14:paraId="14BDA1F7" w14:textId="77777777" w:rsidR="001778F6" w:rsidRPr="00595C7D" w:rsidRDefault="001778F6" w:rsidP="001778F6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000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C44B81A" wp14:editId="5357952F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071681">
    <w:abstractNumId w:val="0"/>
  </w:num>
  <w:num w:numId="2" w16cid:durableId="1986007434">
    <w:abstractNumId w:val="1"/>
  </w:num>
  <w:num w:numId="3" w16cid:durableId="428237437">
    <w:abstractNumId w:val="3"/>
  </w:num>
  <w:num w:numId="4" w16cid:durableId="598636746">
    <w:abstractNumId w:val="5"/>
  </w:num>
  <w:num w:numId="5" w16cid:durableId="1426224050">
    <w:abstractNumId w:val="4"/>
  </w:num>
  <w:num w:numId="6" w16cid:durableId="147405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1778F6"/>
    <w:rsid w:val="001E5B22"/>
    <w:rsid w:val="0073785A"/>
    <w:rsid w:val="00A220D0"/>
    <w:rsid w:val="00BF42A1"/>
    <w:rsid w:val="00CB1859"/>
    <w:rsid w:val="00D506AF"/>
    <w:rsid w:val="00D521FD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38C"/>
  <w15:docId w15:val="{B7D9B2D9-FA22-461A-A5CF-27FA5B76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2022-11-30T13:52:00Z</dcterms:created>
  <dcterms:modified xsi:type="dcterms:W3CDTF">2022-11-30T13:52:00Z</dcterms:modified>
</cp:coreProperties>
</file>