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A2BF" w14:textId="77777777" w:rsidR="001D3C02" w:rsidRPr="0089172D" w:rsidRDefault="001D3C02" w:rsidP="001D3C02">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PROGRAM DODJELE DRŽAVNIH POTPORA SEKTORU MORA, PROMETA, PROMETNE INFRASTRUKTURE I POVEZANIM DJELATNOSTIMA U AKTUALNOJ PANDEMIJI COVID-A 19</w:t>
      </w:r>
    </w:p>
    <w:p w14:paraId="2B9180DC" w14:textId="77777777" w:rsidR="001D3C02" w:rsidRPr="0089172D" w:rsidRDefault="001D3C02" w:rsidP="001D3C02">
      <w:pPr>
        <w:spacing w:after="120" w:line="360" w:lineRule="auto"/>
        <w:rPr>
          <w:rFonts w:ascii="Times New Roman" w:hAnsi="Times New Roman" w:cs="Times New Roman"/>
          <w:b/>
          <w:sz w:val="24"/>
          <w:szCs w:val="24"/>
        </w:rPr>
      </w:pPr>
    </w:p>
    <w:p w14:paraId="08093AFD" w14:textId="77777777" w:rsidR="001D3C02" w:rsidRPr="0089172D" w:rsidRDefault="001D3C02" w:rsidP="001D3C02">
      <w:pPr>
        <w:pStyle w:val="ListParagraph1"/>
        <w:spacing w:after="240" w:line="360" w:lineRule="auto"/>
        <w:ind w:left="0"/>
        <w:contextualSpacing w:val="0"/>
        <w:jc w:val="center"/>
        <w:rPr>
          <w:rStyle w:val="Bodytext285pt"/>
          <w:rFonts w:eastAsia="Calibri"/>
          <w:b/>
          <w:sz w:val="24"/>
          <w:szCs w:val="24"/>
          <w:lang w:val="hr-HR"/>
        </w:rPr>
      </w:pPr>
      <w:r w:rsidRPr="0089172D">
        <w:rPr>
          <w:rStyle w:val="Bodytext285pt"/>
          <w:rFonts w:eastAsia="Calibri"/>
          <w:b/>
          <w:sz w:val="24"/>
          <w:szCs w:val="24"/>
          <w:lang w:val="hr-HR"/>
        </w:rPr>
        <w:t>POGLAVLJE I.</w:t>
      </w:r>
    </w:p>
    <w:p w14:paraId="65289ED3" w14:textId="77777777" w:rsidR="001D3C02" w:rsidRPr="0089172D" w:rsidRDefault="001D3C02" w:rsidP="001D3C02">
      <w:pPr>
        <w:pStyle w:val="ListParagraph1"/>
        <w:spacing w:after="240" w:line="360" w:lineRule="auto"/>
        <w:ind w:left="0"/>
        <w:contextualSpacing w:val="0"/>
        <w:jc w:val="center"/>
        <w:rPr>
          <w:rFonts w:ascii="Times New Roman" w:hAnsi="Times New Roman"/>
          <w:b/>
          <w:sz w:val="24"/>
          <w:szCs w:val="24"/>
          <w:lang w:val="hr-HR"/>
        </w:rPr>
      </w:pPr>
      <w:r w:rsidRPr="0089172D">
        <w:rPr>
          <w:rStyle w:val="Bodytext285pt"/>
          <w:rFonts w:eastAsia="Calibri"/>
          <w:b/>
          <w:sz w:val="24"/>
          <w:szCs w:val="24"/>
          <w:lang w:val="hr-HR"/>
        </w:rPr>
        <w:t>Opće odredbe</w:t>
      </w:r>
    </w:p>
    <w:p w14:paraId="6261F737" w14:textId="77777777" w:rsidR="001D3C02" w:rsidRPr="0089172D" w:rsidRDefault="001D3C02" w:rsidP="001D3C02">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I.</w:t>
      </w:r>
    </w:p>
    <w:p w14:paraId="6355EEC4" w14:textId="77777777" w:rsidR="001D3C02" w:rsidRPr="0089172D" w:rsidRDefault="001D3C02" w:rsidP="001D3C02">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 xml:space="preserve">Ciljevi </w:t>
      </w:r>
    </w:p>
    <w:p w14:paraId="72B5C3B8" w14:textId="5BAF341F"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U izvanrednim okolnostima i bitno pogoršanim uvjetima poslovanja koji su prouzročeni </w:t>
      </w:r>
      <w:proofErr w:type="spellStart"/>
      <w:r w:rsidRPr="0089172D">
        <w:rPr>
          <w:rFonts w:ascii="Times New Roman" w:hAnsi="Times New Roman" w:cs="Times New Roman"/>
          <w:sz w:val="24"/>
          <w:szCs w:val="24"/>
        </w:rPr>
        <w:t>pandemijom</w:t>
      </w:r>
      <w:proofErr w:type="spellEnd"/>
      <w:r w:rsidRPr="0089172D">
        <w:rPr>
          <w:rFonts w:ascii="Times New Roman" w:hAnsi="Times New Roman" w:cs="Times New Roman"/>
          <w:sz w:val="24"/>
          <w:szCs w:val="24"/>
        </w:rPr>
        <w:t xml:space="preserve"> COVID-a 19 cilj je mjera sadržanih u ovom Programu osigurati financijsku podršku poduzetnicima koji obavljaju djelatnosti u sektoru mora, prometa, prometne infrastrukture i s njima povezane djelatnostima radi ublažavanja posljedica ove krize na njihovo poslovanje. Pritom je naglasak na mjerama namijenjenim osiguranju likvidnosti</w:t>
      </w:r>
      <w:r w:rsidR="007510B0">
        <w:rPr>
          <w:rFonts w:ascii="Times New Roman" w:hAnsi="Times New Roman" w:cs="Times New Roman"/>
          <w:sz w:val="24"/>
          <w:szCs w:val="24"/>
        </w:rPr>
        <w:t xml:space="preserve">, ublažavanju šteta nastalih zbog </w:t>
      </w:r>
      <w:proofErr w:type="spellStart"/>
      <w:r w:rsidR="007510B0">
        <w:rPr>
          <w:rFonts w:ascii="Times New Roman" w:hAnsi="Times New Roman" w:cs="Times New Roman"/>
          <w:sz w:val="24"/>
          <w:szCs w:val="24"/>
        </w:rPr>
        <w:t>pandemije</w:t>
      </w:r>
      <w:proofErr w:type="spellEnd"/>
      <w:r w:rsidRPr="0089172D">
        <w:rPr>
          <w:rFonts w:ascii="Times New Roman" w:hAnsi="Times New Roman" w:cs="Times New Roman"/>
          <w:sz w:val="24"/>
          <w:szCs w:val="24"/>
        </w:rPr>
        <w:t xml:space="preserve"> i omogućavanju pristupa financiranju radi </w:t>
      </w:r>
      <w:r w:rsidR="007510B0">
        <w:rPr>
          <w:rFonts w:ascii="Times New Roman" w:hAnsi="Times New Roman" w:cs="Times New Roman"/>
          <w:sz w:val="24"/>
          <w:szCs w:val="24"/>
        </w:rPr>
        <w:t xml:space="preserve">očuvanja kontinuiteta ekonomske aktivnosti u </w:t>
      </w:r>
      <w:r w:rsidRPr="0089172D">
        <w:rPr>
          <w:rFonts w:ascii="Times New Roman" w:hAnsi="Times New Roman" w:cs="Times New Roman"/>
          <w:sz w:val="24"/>
          <w:szCs w:val="24"/>
        </w:rPr>
        <w:t>ovo</w:t>
      </w:r>
      <w:r w:rsidR="007510B0">
        <w:rPr>
          <w:rFonts w:ascii="Times New Roman" w:hAnsi="Times New Roman" w:cs="Times New Roman"/>
          <w:sz w:val="24"/>
          <w:szCs w:val="24"/>
        </w:rPr>
        <w:t>m</w:t>
      </w:r>
      <w:r w:rsidRPr="0089172D">
        <w:rPr>
          <w:rFonts w:ascii="Times New Roman" w:hAnsi="Times New Roman" w:cs="Times New Roman"/>
          <w:sz w:val="24"/>
          <w:szCs w:val="24"/>
        </w:rPr>
        <w:t xml:space="preserve"> sektor</w:t>
      </w:r>
      <w:r w:rsidR="007510B0">
        <w:rPr>
          <w:rFonts w:ascii="Times New Roman" w:hAnsi="Times New Roman" w:cs="Times New Roman"/>
          <w:sz w:val="24"/>
          <w:szCs w:val="24"/>
        </w:rPr>
        <w:t>u</w:t>
      </w:r>
      <w:r w:rsidR="008105D3">
        <w:rPr>
          <w:rFonts w:ascii="Times New Roman" w:hAnsi="Times New Roman" w:cs="Times New Roman"/>
          <w:sz w:val="24"/>
          <w:szCs w:val="24"/>
        </w:rPr>
        <w:t xml:space="preserve"> za vrijeme i nakon </w:t>
      </w:r>
      <w:proofErr w:type="spellStart"/>
      <w:r w:rsidR="008105D3">
        <w:rPr>
          <w:rFonts w:ascii="Times New Roman" w:hAnsi="Times New Roman" w:cs="Times New Roman"/>
          <w:sz w:val="24"/>
          <w:szCs w:val="24"/>
        </w:rPr>
        <w:t>pandemije</w:t>
      </w:r>
      <w:proofErr w:type="spellEnd"/>
      <w:r w:rsidR="008105D3">
        <w:rPr>
          <w:rFonts w:ascii="Times New Roman" w:hAnsi="Times New Roman" w:cs="Times New Roman"/>
          <w:sz w:val="24"/>
          <w:szCs w:val="24"/>
        </w:rPr>
        <w:t xml:space="preserve"> COVID-a 19</w:t>
      </w:r>
      <w:r w:rsidRPr="0089172D">
        <w:rPr>
          <w:rFonts w:ascii="Times New Roman" w:hAnsi="Times New Roman" w:cs="Times New Roman"/>
          <w:sz w:val="24"/>
          <w:szCs w:val="24"/>
        </w:rPr>
        <w:t xml:space="preserve"> te stvaranje uvjeta za što brži oporavak </w:t>
      </w:r>
      <w:r w:rsidR="007510B0">
        <w:rPr>
          <w:rFonts w:ascii="Times New Roman" w:hAnsi="Times New Roman" w:cs="Times New Roman"/>
          <w:sz w:val="24"/>
          <w:szCs w:val="24"/>
        </w:rPr>
        <w:t>nakon sadašnje</w:t>
      </w:r>
      <w:r w:rsidRPr="0089172D">
        <w:rPr>
          <w:rFonts w:ascii="Times New Roman" w:hAnsi="Times New Roman" w:cs="Times New Roman"/>
          <w:sz w:val="24"/>
          <w:szCs w:val="24"/>
        </w:rPr>
        <w:t xml:space="preserve"> krize.</w:t>
      </w:r>
    </w:p>
    <w:p w14:paraId="422266F9" w14:textId="77777777" w:rsidR="001D3C02" w:rsidRPr="0089172D" w:rsidRDefault="001D3C02" w:rsidP="001D3C02">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II.</w:t>
      </w:r>
    </w:p>
    <w:p w14:paraId="3CD5457C" w14:textId="77777777" w:rsidR="001D3C02" w:rsidRPr="00693C18" w:rsidRDefault="001D3C02" w:rsidP="001D3C02">
      <w:pPr>
        <w:spacing w:after="240" w:line="360" w:lineRule="auto"/>
        <w:jc w:val="center"/>
        <w:rPr>
          <w:rFonts w:ascii="Times New Roman" w:hAnsi="Times New Roman" w:cs="Times New Roman"/>
          <w:b/>
          <w:sz w:val="24"/>
          <w:szCs w:val="24"/>
        </w:rPr>
      </w:pPr>
      <w:r w:rsidRPr="00693C18">
        <w:rPr>
          <w:rFonts w:ascii="Times New Roman" w:hAnsi="Times New Roman" w:cs="Times New Roman"/>
          <w:b/>
          <w:sz w:val="24"/>
          <w:szCs w:val="24"/>
        </w:rPr>
        <w:t xml:space="preserve">Pravni temelj </w:t>
      </w:r>
    </w:p>
    <w:p w14:paraId="556DD8C5" w14:textId="09D8BD11" w:rsidR="001D3C02" w:rsidRPr="00824C7D" w:rsidRDefault="001D3C02" w:rsidP="00824C7D">
      <w:pPr>
        <w:spacing w:after="240" w:line="360" w:lineRule="auto"/>
        <w:jc w:val="both"/>
        <w:rPr>
          <w:rFonts w:ascii="Times New Roman" w:hAnsi="Times New Roman" w:cs="Times New Roman"/>
          <w:color w:val="FF0000"/>
          <w:sz w:val="24"/>
          <w:szCs w:val="24"/>
        </w:rPr>
      </w:pPr>
      <w:r w:rsidRPr="00382894">
        <w:rPr>
          <w:rFonts w:ascii="Times New Roman" w:hAnsi="Times New Roman" w:cs="Times New Roman"/>
          <w:sz w:val="24"/>
          <w:szCs w:val="24"/>
        </w:rPr>
        <w:t xml:space="preserve">Ovim Programom uređuje se dodjela državnih potpora (u daljnjem tekstu: potpora) na temelju Komunikacije Komisije – Privremeni okvir za mjere državne potpore u svrhu podrške gospodarstvu u aktualnoj </w:t>
      </w:r>
      <w:proofErr w:type="spellStart"/>
      <w:r w:rsidRPr="00382894">
        <w:rPr>
          <w:rFonts w:ascii="Times New Roman" w:hAnsi="Times New Roman" w:cs="Times New Roman"/>
          <w:sz w:val="24"/>
          <w:szCs w:val="24"/>
        </w:rPr>
        <w:t>pandemiji</w:t>
      </w:r>
      <w:proofErr w:type="spellEnd"/>
      <w:r w:rsidRPr="00382894">
        <w:rPr>
          <w:rFonts w:ascii="Times New Roman" w:hAnsi="Times New Roman" w:cs="Times New Roman"/>
          <w:sz w:val="24"/>
          <w:szCs w:val="24"/>
        </w:rPr>
        <w:t xml:space="preserve"> COVID-a 19</w:t>
      </w:r>
      <w:r>
        <w:rPr>
          <w:rFonts w:ascii="Times New Roman" w:hAnsi="Times New Roman" w:cs="Times New Roman"/>
          <w:sz w:val="24"/>
          <w:szCs w:val="24"/>
        </w:rPr>
        <w:t xml:space="preserve"> od 19. ožujka 2020. godine (SL C 91I, 20.03.2020., str. 1) i</w:t>
      </w:r>
      <w:r w:rsidRPr="00382894">
        <w:rPr>
          <w:rFonts w:ascii="Times New Roman" w:hAnsi="Times New Roman" w:cs="Times New Roman"/>
          <w:sz w:val="24"/>
          <w:szCs w:val="24"/>
        </w:rPr>
        <w:t xml:space="preserve"> Izm</w:t>
      </w:r>
      <w:r>
        <w:rPr>
          <w:rFonts w:ascii="Times New Roman" w:hAnsi="Times New Roman" w:cs="Times New Roman"/>
          <w:sz w:val="24"/>
          <w:szCs w:val="24"/>
        </w:rPr>
        <w:t>jena P</w:t>
      </w:r>
      <w:r w:rsidRPr="00382894">
        <w:rPr>
          <w:rFonts w:ascii="Times New Roman" w:hAnsi="Times New Roman" w:cs="Times New Roman"/>
          <w:sz w:val="24"/>
          <w:szCs w:val="24"/>
        </w:rPr>
        <w:t xml:space="preserve">rivremenog okvira za mjere državne potpore u svrhu podrške gospodarstvu u aktualnoj </w:t>
      </w:r>
      <w:proofErr w:type="spellStart"/>
      <w:r w:rsidRPr="00382894">
        <w:rPr>
          <w:rFonts w:ascii="Times New Roman" w:hAnsi="Times New Roman" w:cs="Times New Roman"/>
          <w:sz w:val="24"/>
          <w:szCs w:val="24"/>
        </w:rPr>
        <w:t>pandemiji</w:t>
      </w:r>
      <w:proofErr w:type="spellEnd"/>
      <w:r w:rsidRPr="00382894">
        <w:rPr>
          <w:rFonts w:ascii="Times New Roman" w:hAnsi="Times New Roman" w:cs="Times New Roman"/>
          <w:sz w:val="24"/>
          <w:szCs w:val="24"/>
        </w:rPr>
        <w:t xml:space="preserve"> COVID-a 19 </w:t>
      </w:r>
      <w:r>
        <w:rPr>
          <w:rFonts w:ascii="Times New Roman" w:hAnsi="Times New Roman" w:cs="Times New Roman"/>
          <w:sz w:val="24"/>
          <w:szCs w:val="24"/>
        </w:rPr>
        <w:t>od 3. travnja 2020. ( SL C 112I, 4.4.2020., stri. 1), Komunikacijom Komisije – I</w:t>
      </w:r>
      <w:r w:rsidRPr="00382894">
        <w:rPr>
          <w:rFonts w:ascii="Times New Roman" w:hAnsi="Times New Roman" w:cs="Times New Roman"/>
          <w:sz w:val="24"/>
          <w:szCs w:val="24"/>
        </w:rPr>
        <w:t xml:space="preserve">zmjena privremenog okvira za mjere državne potpore u svrhu podrške gospodarstvu u aktualnoj </w:t>
      </w:r>
      <w:proofErr w:type="spellStart"/>
      <w:r w:rsidRPr="00382894">
        <w:rPr>
          <w:rFonts w:ascii="Times New Roman" w:hAnsi="Times New Roman" w:cs="Times New Roman"/>
          <w:sz w:val="24"/>
          <w:szCs w:val="24"/>
        </w:rPr>
        <w:t>pandemiji</w:t>
      </w:r>
      <w:proofErr w:type="spellEnd"/>
      <w:r w:rsidRPr="00382894">
        <w:rPr>
          <w:rFonts w:ascii="Times New Roman" w:hAnsi="Times New Roman" w:cs="Times New Roman"/>
          <w:sz w:val="24"/>
          <w:szCs w:val="24"/>
        </w:rPr>
        <w:t xml:space="preserve"> COVID-a 19</w:t>
      </w:r>
      <w:r>
        <w:rPr>
          <w:rFonts w:ascii="Times New Roman" w:hAnsi="Times New Roman" w:cs="Times New Roman"/>
          <w:sz w:val="24"/>
          <w:szCs w:val="24"/>
        </w:rPr>
        <w:t xml:space="preserve"> od 8. svibnja 2020. godine ( SL C 164, 13.5.2020., str. 3), </w:t>
      </w:r>
      <w:r w:rsidRPr="00382894">
        <w:rPr>
          <w:rFonts w:ascii="Times New Roman" w:hAnsi="Times New Roman" w:cs="Times New Roman"/>
          <w:sz w:val="24"/>
          <w:szCs w:val="24"/>
        </w:rPr>
        <w:t xml:space="preserve">Komunikacijom Komisije - Treća izmjena privremenog okvira za mjere državne potpore u svrhu podrške gospodarstvu u aktualnoj </w:t>
      </w:r>
      <w:proofErr w:type="spellStart"/>
      <w:r w:rsidRPr="00382894">
        <w:rPr>
          <w:rFonts w:ascii="Times New Roman" w:hAnsi="Times New Roman" w:cs="Times New Roman"/>
          <w:sz w:val="24"/>
          <w:szCs w:val="24"/>
        </w:rPr>
        <w:t>pandemiji</w:t>
      </w:r>
      <w:proofErr w:type="spellEnd"/>
      <w:r w:rsidRPr="00382894">
        <w:rPr>
          <w:rFonts w:ascii="Times New Roman" w:hAnsi="Times New Roman" w:cs="Times New Roman"/>
          <w:sz w:val="24"/>
          <w:szCs w:val="24"/>
        </w:rPr>
        <w:t xml:space="preserve"> COVID-a l9</w:t>
      </w:r>
      <w:r w:rsidR="00824C7D">
        <w:rPr>
          <w:rFonts w:ascii="Times New Roman" w:hAnsi="Times New Roman" w:cs="Times New Roman"/>
          <w:sz w:val="24"/>
          <w:szCs w:val="24"/>
        </w:rPr>
        <w:t xml:space="preserve"> (SL C 218,2.7.2020., str.3.),</w:t>
      </w:r>
      <w:r w:rsidRPr="00382894">
        <w:rPr>
          <w:rFonts w:ascii="Times New Roman" w:hAnsi="Times New Roman" w:cs="Times New Roman"/>
          <w:sz w:val="24"/>
          <w:szCs w:val="24"/>
        </w:rPr>
        <w:t xml:space="preserve"> Komunikacijom Komisije - Četvrta izmjena privremenog okvira za mjere državne potpore u svrhu podrške gospodarstvu u aktualnoj </w:t>
      </w:r>
      <w:proofErr w:type="spellStart"/>
      <w:r w:rsidRPr="00382894">
        <w:rPr>
          <w:rFonts w:ascii="Times New Roman" w:hAnsi="Times New Roman" w:cs="Times New Roman"/>
          <w:sz w:val="24"/>
          <w:szCs w:val="24"/>
        </w:rPr>
        <w:t>pandemiji</w:t>
      </w:r>
      <w:proofErr w:type="spellEnd"/>
      <w:r w:rsidRPr="00382894">
        <w:rPr>
          <w:rFonts w:ascii="Times New Roman" w:hAnsi="Times New Roman" w:cs="Times New Roman"/>
          <w:sz w:val="24"/>
          <w:szCs w:val="24"/>
        </w:rPr>
        <w:t xml:space="preserve"> COVID-a 19 i izmjena </w:t>
      </w:r>
      <w:r w:rsidRPr="00382894">
        <w:rPr>
          <w:rFonts w:ascii="Times New Roman" w:hAnsi="Times New Roman" w:cs="Times New Roman"/>
          <w:sz w:val="24"/>
          <w:szCs w:val="24"/>
        </w:rPr>
        <w:lastRenderedPageBreak/>
        <w:t>Priloga Komunikaciji Komisije državama članicama o primjeni članaka 107. i 108. Ugovora o funkcioniranju Europske unije na kratkoročno osiguranje izvoznih kredita (SL C 340I, 13.10.2020., str.1)</w:t>
      </w:r>
      <w:r w:rsidR="00B8467B">
        <w:rPr>
          <w:rFonts w:ascii="Times New Roman" w:hAnsi="Times New Roman" w:cs="Times New Roman"/>
          <w:sz w:val="24"/>
          <w:szCs w:val="24"/>
        </w:rPr>
        <w:t>,</w:t>
      </w:r>
      <w:r w:rsidR="00824C7D">
        <w:rPr>
          <w:rFonts w:ascii="Times New Roman" w:hAnsi="Times New Roman" w:cs="Times New Roman"/>
          <w:sz w:val="24"/>
          <w:szCs w:val="24"/>
        </w:rPr>
        <w:t xml:space="preserve"> </w:t>
      </w:r>
      <w:r w:rsidR="00824C7D" w:rsidRPr="00371FD5">
        <w:rPr>
          <w:rFonts w:ascii="Times New Roman" w:hAnsi="Times New Roman" w:cs="Times New Roman"/>
          <w:sz w:val="24"/>
          <w:szCs w:val="24"/>
        </w:rPr>
        <w:t xml:space="preserve">Komunikacijom </w:t>
      </w:r>
      <w:r w:rsidR="00824C7D" w:rsidRPr="00371FD5">
        <w:rPr>
          <w:rFonts w:ascii="Times New Roman" w:hAnsi="Times New Roman" w:cs="Times New Roman"/>
          <w:sz w:val="24"/>
          <w:szCs w:val="24"/>
        </w:rPr>
        <w:tab/>
        <w:t xml:space="preserve">Komisije – Peta izmjena privremenog okvira za mjere državne potpore u svrhu podrške gospodarstvu u aktualnoj </w:t>
      </w:r>
      <w:proofErr w:type="spellStart"/>
      <w:r w:rsidR="00824C7D" w:rsidRPr="00371FD5">
        <w:rPr>
          <w:rFonts w:ascii="Times New Roman" w:hAnsi="Times New Roman" w:cs="Times New Roman"/>
          <w:sz w:val="24"/>
          <w:szCs w:val="24"/>
        </w:rPr>
        <w:t>pandemiji</w:t>
      </w:r>
      <w:proofErr w:type="spellEnd"/>
      <w:r w:rsidR="00824C7D" w:rsidRPr="00371FD5">
        <w:rPr>
          <w:rFonts w:ascii="Times New Roman" w:hAnsi="Times New Roman" w:cs="Times New Roman"/>
          <w:sz w:val="24"/>
          <w:szCs w:val="24"/>
        </w:rPr>
        <w:t xml:space="preserve"> COVID-a 19 od 28. siječnja 2021. godine</w:t>
      </w:r>
      <w:r w:rsidR="003C3AE6" w:rsidRPr="00371FD5">
        <w:rPr>
          <w:rFonts w:ascii="Times New Roman" w:hAnsi="Times New Roman" w:cs="Times New Roman"/>
          <w:sz w:val="24"/>
          <w:szCs w:val="24"/>
        </w:rPr>
        <w:t xml:space="preserve"> (SL C 34, 1.2.2021., str. 6.)</w:t>
      </w:r>
      <w:r w:rsidR="00B8467B">
        <w:rPr>
          <w:rFonts w:ascii="Times New Roman" w:hAnsi="Times New Roman" w:cs="Times New Roman"/>
          <w:sz w:val="24"/>
          <w:szCs w:val="24"/>
        </w:rPr>
        <w:t xml:space="preserve"> te Komunikacijom Komisije - Šeste izmjene</w:t>
      </w:r>
      <w:r w:rsidR="00B8467B" w:rsidRPr="00B8467B">
        <w:rPr>
          <w:rFonts w:ascii="Times New Roman" w:hAnsi="Times New Roman" w:cs="Times New Roman"/>
          <w:sz w:val="24"/>
          <w:szCs w:val="24"/>
        </w:rPr>
        <w:t xml:space="preserve"> privremenog okvira za mjere državne potpore u svrhu podrške gospodarstvu u aktualnoj </w:t>
      </w:r>
      <w:proofErr w:type="spellStart"/>
      <w:r w:rsidR="00B8467B" w:rsidRPr="00B8467B">
        <w:rPr>
          <w:rFonts w:ascii="Times New Roman" w:hAnsi="Times New Roman" w:cs="Times New Roman"/>
          <w:sz w:val="24"/>
          <w:szCs w:val="24"/>
        </w:rPr>
        <w:t>pand</w:t>
      </w:r>
      <w:r w:rsidR="00B8467B">
        <w:rPr>
          <w:rFonts w:ascii="Times New Roman" w:hAnsi="Times New Roman" w:cs="Times New Roman"/>
          <w:sz w:val="24"/>
          <w:szCs w:val="24"/>
        </w:rPr>
        <w:t>emiji</w:t>
      </w:r>
      <w:proofErr w:type="spellEnd"/>
      <w:r w:rsidR="00B8467B">
        <w:rPr>
          <w:rFonts w:ascii="Times New Roman" w:hAnsi="Times New Roman" w:cs="Times New Roman"/>
          <w:sz w:val="24"/>
          <w:szCs w:val="24"/>
        </w:rPr>
        <w:t xml:space="preserve"> bolesti COVID-19 i izmjena Priloga Komunikacije</w:t>
      </w:r>
      <w:r w:rsidR="00B8467B" w:rsidRPr="00B8467B">
        <w:rPr>
          <w:rFonts w:ascii="Times New Roman" w:hAnsi="Times New Roman" w:cs="Times New Roman"/>
          <w:sz w:val="24"/>
          <w:szCs w:val="24"/>
        </w:rPr>
        <w:t xml:space="preserve"> Komisije državama članicama o primjeni članaka 107. i 108. Ugovora o funkcioniranju Europske unije na kratkoročno osiguranje izvoznih kredita</w:t>
      </w:r>
    </w:p>
    <w:p w14:paraId="7221E9AF"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 xml:space="preserve">Ovaj Program predstavlja akt na temelju kojeg će Vlada Republike Hrvatske – Ministarstvo mora, prometa i infrastrukture (u daljnjem tekstu: MMPI) </w:t>
      </w:r>
      <w:r w:rsidR="002B3FBE">
        <w:rPr>
          <w:rFonts w:ascii="Times New Roman" w:hAnsi="Times New Roman" w:cs="Times New Roman"/>
          <w:sz w:val="24"/>
          <w:szCs w:val="24"/>
        </w:rPr>
        <w:t xml:space="preserve">samostalno i </w:t>
      </w:r>
      <w:r w:rsidRPr="0089172D">
        <w:rPr>
          <w:rFonts w:ascii="Times New Roman" w:hAnsi="Times New Roman" w:cs="Times New Roman"/>
          <w:sz w:val="24"/>
          <w:szCs w:val="24"/>
        </w:rPr>
        <w:t xml:space="preserve">putem provedbenih tijela Hrvatske banke za obnovu i razvitak (u daljnjem tekstu: HBOR) i Hrvatske agencije za malo gospodarstvo, inovacije i investicije (HAMAG-BICRO), </w:t>
      </w:r>
      <w:r w:rsidR="00FB29F9">
        <w:rPr>
          <w:rFonts w:ascii="Times New Roman" w:hAnsi="Times New Roman" w:cs="Times New Roman"/>
          <w:sz w:val="24"/>
          <w:szCs w:val="24"/>
        </w:rPr>
        <w:t xml:space="preserve">gdje je primjenjivo, </w:t>
      </w:r>
      <w:r w:rsidRPr="0089172D">
        <w:rPr>
          <w:rFonts w:ascii="Times New Roman" w:hAnsi="Times New Roman" w:cs="Times New Roman"/>
          <w:sz w:val="24"/>
          <w:szCs w:val="24"/>
        </w:rPr>
        <w:t>bez potrebe za daljnjom obavijesti, dodjeljivati pojedinačne potpore korisnicima koji ispunjavaju uvjete iz ovog Programa i Privremenog okvira – COVID 19.</w:t>
      </w:r>
    </w:p>
    <w:p w14:paraId="1A0EE2E6" w14:textId="1ADE8B19" w:rsidR="001D3C02" w:rsidRPr="0089172D" w:rsidRDefault="001D3C02" w:rsidP="00FB29F9">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Instrument</w:t>
      </w:r>
      <w:r w:rsidR="00FB29F9">
        <w:rPr>
          <w:rFonts w:ascii="Times New Roman" w:hAnsi="Times New Roman" w:cs="Times New Roman"/>
          <w:sz w:val="24"/>
          <w:szCs w:val="24"/>
        </w:rPr>
        <w:t>i</w:t>
      </w:r>
      <w:r w:rsidRPr="0089172D">
        <w:rPr>
          <w:rFonts w:ascii="Times New Roman" w:hAnsi="Times New Roman" w:cs="Times New Roman"/>
          <w:sz w:val="24"/>
          <w:szCs w:val="24"/>
        </w:rPr>
        <w:t xml:space="preserve"> državne potpore uređen</w:t>
      </w:r>
      <w:r w:rsidR="00FB29F9">
        <w:rPr>
          <w:rFonts w:ascii="Times New Roman" w:hAnsi="Times New Roman" w:cs="Times New Roman"/>
          <w:sz w:val="24"/>
          <w:szCs w:val="24"/>
        </w:rPr>
        <w:t xml:space="preserve">i </w:t>
      </w:r>
      <w:r w:rsidRPr="0089172D">
        <w:rPr>
          <w:rFonts w:ascii="Times New Roman" w:hAnsi="Times New Roman" w:cs="Times New Roman"/>
          <w:sz w:val="24"/>
          <w:szCs w:val="24"/>
        </w:rPr>
        <w:t xml:space="preserve">ovim Programom </w:t>
      </w:r>
      <w:r w:rsidR="00FB29F9">
        <w:rPr>
          <w:rFonts w:ascii="Times New Roman" w:hAnsi="Times New Roman" w:cs="Times New Roman"/>
          <w:sz w:val="24"/>
          <w:szCs w:val="24"/>
        </w:rPr>
        <w:t>su</w:t>
      </w:r>
      <w:r w:rsidR="00B75376">
        <w:rPr>
          <w:rFonts w:ascii="Times New Roman" w:hAnsi="Times New Roman" w:cs="Times New Roman"/>
          <w:sz w:val="24"/>
          <w:szCs w:val="24"/>
        </w:rPr>
        <w:t xml:space="preserve"> </w:t>
      </w:r>
      <w:r w:rsidRPr="0089172D">
        <w:rPr>
          <w:rFonts w:ascii="Times New Roman" w:hAnsi="Times New Roman" w:cs="Times New Roman"/>
          <w:sz w:val="24"/>
          <w:szCs w:val="24"/>
        </w:rPr>
        <w:t>državn</w:t>
      </w:r>
      <w:r w:rsidR="00FB29F9">
        <w:rPr>
          <w:rFonts w:ascii="Times New Roman" w:hAnsi="Times New Roman" w:cs="Times New Roman"/>
          <w:sz w:val="24"/>
          <w:szCs w:val="24"/>
        </w:rPr>
        <w:t>a</w:t>
      </w:r>
      <w:r w:rsidRPr="0089172D">
        <w:rPr>
          <w:rFonts w:ascii="Times New Roman" w:hAnsi="Times New Roman" w:cs="Times New Roman"/>
          <w:sz w:val="24"/>
          <w:szCs w:val="24"/>
        </w:rPr>
        <w:t xml:space="preserve"> jamstv</w:t>
      </w:r>
      <w:r w:rsidR="00FB29F9">
        <w:rPr>
          <w:rFonts w:ascii="Times New Roman" w:hAnsi="Times New Roman" w:cs="Times New Roman"/>
          <w:sz w:val="24"/>
          <w:szCs w:val="24"/>
        </w:rPr>
        <w:t>a</w:t>
      </w:r>
      <w:r w:rsidRPr="0089172D">
        <w:rPr>
          <w:rFonts w:ascii="Times New Roman" w:hAnsi="Times New Roman" w:cs="Times New Roman"/>
          <w:sz w:val="24"/>
          <w:szCs w:val="24"/>
        </w:rPr>
        <w:t xml:space="preserve"> (u daljnjem tekstu: jamstvo) za nove zajmove poduzetnika kod poslovnih banaka te Hrvatske banke za obnovu i razvitak</w:t>
      </w:r>
      <w:r w:rsidR="00411776">
        <w:rPr>
          <w:rFonts w:ascii="Times New Roman" w:hAnsi="Times New Roman" w:cs="Times New Roman"/>
          <w:sz w:val="24"/>
          <w:szCs w:val="24"/>
        </w:rPr>
        <w:t xml:space="preserve"> te bespovratna sredstva koja izravno dodjeljuje MMPI.</w:t>
      </w:r>
    </w:p>
    <w:p w14:paraId="48236300"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Davatelj potpore iz stavka 2. ove točke je MMPI, koji će osigurati sredstva za dodjelu potpora sukladno ovom Programu, kao i za plaćanja odnosno pokriće gubitaka po jamstvima koja će se izdavati na temelju ovog Programa, voditi evidenciju i nadzor dodijeljenih potpora u obliku jamstava</w:t>
      </w:r>
      <w:r w:rsidR="00FB29F9">
        <w:rPr>
          <w:rFonts w:ascii="Times New Roman" w:hAnsi="Times New Roman" w:cs="Times New Roman"/>
          <w:sz w:val="24"/>
          <w:szCs w:val="24"/>
        </w:rPr>
        <w:t>, gdje je primjenjivo,</w:t>
      </w:r>
      <w:r w:rsidRPr="0089172D">
        <w:rPr>
          <w:rFonts w:ascii="Times New Roman" w:hAnsi="Times New Roman" w:cs="Times New Roman"/>
          <w:sz w:val="24"/>
          <w:szCs w:val="24"/>
        </w:rPr>
        <w:t xml:space="preserve"> te izvršavati obveze iz Privremenog okvira – COVID 19 koje se odnose na korištenje privremenih mjera potpore iz ovog Programa.</w:t>
      </w:r>
    </w:p>
    <w:p w14:paraId="1099E1DA" w14:textId="46EDE79A"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 xml:space="preserve">Mjere iz ovog Programa </w:t>
      </w:r>
      <w:r w:rsidR="00FB29F9">
        <w:rPr>
          <w:rFonts w:ascii="Times New Roman" w:hAnsi="Times New Roman" w:cs="Times New Roman"/>
          <w:sz w:val="24"/>
          <w:szCs w:val="24"/>
        </w:rPr>
        <w:t xml:space="preserve">koje </w:t>
      </w:r>
      <w:r w:rsidR="00B972F9">
        <w:rPr>
          <w:rFonts w:ascii="Times New Roman" w:hAnsi="Times New Roman" w:cs="Times New Roman"/>
          <w:sz w:val="24"/>
          <w:szCs w:val="24"/>
        </w:rPr>
        <w:t>predviđaju</w:t>
      </w:r>
      <w:r w:rsidR="00D22142">
        <w:rPr>
          <w:rFonts w:ascii="Times New Roman" w:hAnsi="Times New Roman" w:cs="Times New Roman"/>
          <w:sz w:val="24"/>
          <w:szCs w:val="24"/>
        </w:rPr>
        <w:t xml:space="preserve"> državna jamstva, </w:t>
      </w:r>
      <w:r w:rsidRPr="0089172D">
        <w:rPr>
          <w:rFonts w:ascii="Times New Roman" w:hAnsi="Times New Roman" w:cs="Times New Roman"/>
          <w:sz w:val="24"/>
          <w:szCs w:val="24"/>
        </w:rPr>
        <w:t>provodit</w:t>
      </w:r>
      <w:r w:rsidR="00FB29F9">
        <w:rPr>
          <w:rFonts w:ascii="Times New Roman" w:hAnsi="Times New Roman" w:cs="Times New Roman"/>
          <w:sz w:val="24"/>
          <w:szCs w:val="24"/>
        </w:rPr>
        <w:t>i</w:t>
      </w:r>
      <w:r w:rsidR="00D22142">
        <w:rPr>
          <w:rFonts w:ascii="Times New Roman" w:hAnsi="Times New Roman" w:cs="Times New Roman"/>
          <w:sz w:val="24"/>
          <w:szCs w:val="24"/>
        </w:rPr>
        <w:t xml:space="preserve"> </w:t>
      </w:r>
      <w:r w:rsidRPr="0089172D">
        <w:rPr>
          <w:rFonts w:ascii="Times New Roman" w:hAnsi="Times New Roman" w:cs="Times New Roman"/>
          <w:sz w:val="24"/>
          <w:szCs w:val="24"/>
        </w:rPr>
        <w:t>će i njima upravljati HBOR i HAMAG-BICRO na temelju ovlaštenja (odluke) Vlade Republike Hrvatske i u suradnji s MMPI.</w:t>
      </w:r>
    </w:p>
    <w:p w14:paraId="7A7A1C6B" w14:textId="0883F0B7" w:rsidR="002B3FBE"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Ovaj Program, osim što predstavlja akt na temelju kojeg će se dodjeljivati potpore sukladno Zakonu o državnim potporama</w:t>
      </w:r>
      <w:r w:rsidRPr="0089172D">
        <w:rPr>
          <w:rStyle w:val="FootnoteReference"/>
          <w:rFonts w:ascii="Times New Roman" w:hAnsi="Times New Roman" w:cs="Times New Roman"/>
          <w:sz w:val="24"/>
          <w:szCs w:val="24"/>
        </w:rPr>
        <w:footnoteReference w:id="1"/>
      </w:r>
      <w:r w:rsidRPr="0089172D">
        <w:rPr>
          <w:rFonts w:ascii="Times New Roman" w:hAnsi="Times New Roman" w:cs="Times New Roman"/>
          <w:sz w:val="24"/>
          <w:szCs w:val="24"/>
        </w:rPr>
        <w:t>, ujedno daje okvir i smjernice za rad stručnim službama MMPI</w:t>
      </w:r>
      <w:r w:rsidR="002B3FBE">
        <w:rPr>
          <w:rFonts w:ascii="Times New Roman" w:hAnsi="Times New Roman" w:cs="Times New Roman"/>
          <w:sz w:val="24"/>
          <w:szCs w:val="24"/>
        </w:rPr>
        <w:t xml:space="preserve"> za obradu pojedinih zahtjeva </w:t>
      </w:r>
      <w:r w:rsidR="00B972F9">
        <w:rPr>
          <w:rFonts w:ascii="Times New Roman" w:hAnsi="Times New Roman" w:cs="Times New Roman"/>
          <w:sz w:val="24"/>
          <w:szCs w:val="24"/>
        </w:rPr>
        <w:t xml:space="preserve">korisnika </w:t>
      </w:r>
      <w:r w:rsidR="002B3FBE">
        <w:rPr>
          <w:rFonts w:ascii="Times New Roman" w:hAnsi="Times New Roman" w:cs="Times New Roman"/>
          <w:sz w:val="24"/>
          <w:szCs w:val="24"/>
        </w:rPr>
        <w:t>za državnom potporom.</w:t>
      </w:r>
    </w:p>
    <w:p w14:paraId="39A125DD" w14:textId="48B64ADC" w:rsidR="001D3C02" w:rsidRPr="00CB0F58" w:rsidRDefault="002B3FBE" w:rsidP="001D3C0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1D3C02" w:rsidRPr="0089172D">
        <w:rPr>
          <w:rFonts w:ascii="Times New Roman" w:hAnsi="Times New Roman" w:cs="Times New Roman"/>
          <w:sz w:val="24"/>
          <w:szCs w:val="24"/>
        </w:rPr>
        <w:t>jelatnicima HBOR-a i HAMAG-BICRO-a</w:t>
      </w:r>
      <w:r w:rsidR="00B75376">
        <w:rPr>
          <w:rFonts w:ascii="Times New Roman" w:hAnsi="Times New Roman" w:cs="Times New Roman"/>
          <w:sz w:val="24"/>
          <w:szCs w:val="24"/>
        </w:rPr>
        <w:t xml:space="preserve"> </w:t>
      </w:r>
      <w:r>
        <w:rPr>
          <w:rFonts w:ascii="Times New Roman" w:hAnsi="Times New Roman" w:cs="Times New Roman"/>
          <w:sz w:val="24"/>
          <w:szCs w:val="24"/>
        </w:rPr>
        <w:t xml:space="preserve">ovim </w:t>
      </w:r>
      <w:r w:rsidR="00FF7494">
        <w:rPr>
          <w:rFonts w:ascii="Times New Roman" w:hAnsi="Times New Roman" w:cs="Times New Roman"/>
          <w:sz w:val="24"/>
          <w:szCs w:val="24"/>
        </w:rPr>
        <w:t xml:space="preserve">se </w:t>
      </w:r>
      <w:r>
        <w:rPr>
          <w:rFonts w:ascii="Times New Roman" w:hAnsi="Times New Roman" w:cs="Times New Roman"/>
          <w:sz w:val="24"/>
          <w:szCs w:val="24"/>
        </w:rPr>
        <w:t>Programom pruža okvir i smjer, kako je primjenjivo u odnosu na primjenu instrumenta državnog jamstva,</w:t>
      </w:r>
      <w:r w:rsidR="001D3C02" w:rsidRPr="0089172D">
        <w:rPr>
          <w:rFonts w:ascii="Times New Roman" w:hAnsi="Times New Roman" w:cs="Times New Roman"/>
          <w:sz w:val="24"/>
          <w:szCs w:val="24"/>
        </w:rPr>
        <w:t xml:space="preserve"> u smislu prihvata zahtjeva prijavitelja, prikupljanja potrebne dokumentacije od podnositelja zahtjeva, obrade zahtjeva, a sve zaključno do faze odnosa komitent – banka koji proizlazi iz međusobnih prava i obveza uređenih obvezno-pravnim ugovorom o zajmu.</w:t>
      </w:r>
    </w:p>
    <w:p w14:paraId="763665D3"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Nadzor nad provedbom plaćanja ili pozivima na plaćanje, izvješćivanje o istima u provedbi mjera kao i protestiranjima jamstava u provedbi mjera iz ovog Programa osigurat će Vlada Republike Hrvatske svojim i/ili odgovarajućim provedbenim aktima MMPI.</w:t>
      </w:r>
    </w:p>
    <w:p w14:paraId="1FED47FD"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Za vrijeme trajanje ovoga Programa MMPI u suradnji s HBOR i HAMAG-BICRO kao provedbenim tijelima,</w:t>
      </w:r>
      <w:r w:rsidR="00221F81">
        <w:rPr>
          <w:rFonts w:ascii="Times New Roman" w:hAnsi="Times New Roman" w:cs="Times New Roman"/>
          <w:sz w:val="24"/>
          <w:szCs w:val="24"/>
        </w:rPr>
        <w:t xml:space="preserve"> gdje je primjenjivo,</w:t>
      </w:r>
      <w:r w:rsidR="00B75376">
        <w:rPr>
          <w:rFonts w:ascii="Times New Roman" w:hAnsi="Times New Roman" w:cs="Times New Roman"/>
          <w:sz w:val="24"/>
          <w:szCs w:val="24"/>
        </w:rPr>
        <w:t xml:space="preserve"> </w:t>
      </w:r>
      <w:r w:rsidRPr="0089172D">
        <w:rPr>
          <w:rFonts w:ascii="Times New Roman" w:hAnsi="Times New Roman" w:cs="Times New Roman"/>
          <w:sz w:val="24"/>
          <w:szCs w:val="24"/>
        </w:rPr>
        <w:t xml:space="preserve">procjenjuje moguće rizike koji mogu nastati u slučaju da korisnici zajmova, za koje će biti izdana jamstva, neće biti u mogućnosti izvršavati svoje obveze te na temelju toga, a radi osiguranja plaćanja potencijalnih obveza koje mogu nastati temeljem izdanih jamstva, planira sredstva u okviru svog financijskog plana. </w:t>
      </w:r>
    </w:p>
    <w:p w14:paraId="6CEF83F5"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MMPI će pratiti korištenje jamstava odobrenih iz ovog Programa, izvršavati pozive po plaćanjima u slučaju protestiranja jamstava, transparentno, objektivno i dosljedno voditi evidencije o izdanim jamstvima odnosno potencijalnim obvezama te potraživanjima koja mogu nastati temeljem izdanih jamstava.</w:t>
      </w:r>
    </w:p>
    <w:p w14:paraId="3BA6400C"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O evidencijama i drugim postupanjima iz stavka 7. ovog članka MMPI pravodobno će izvještavati Ministarstvo financija.</w:t>
      </w:r>
    </w:p>
    <w:p w14:paraId="73F3D184" w14:textId="7B507F9B" w:rsidR="001D3C02" w:rsidRPr="00693C18" w:rsidRDefault="001D3C02" w:rsidP="001D3C02">
      <w:pPr>
        <w:spacing w:after="240" w:line="360" w:lineRule="auto"/>
        <w:jc w:val="both"/>
        <w:rPr>
          <w:rFonts w:ascii="Times New Roman" w:hAnsi="Times New Roman" w:cs="Times New Roman"/>
          <w:b/>
          <w:sz w:val="24"/>
          <w:szCs w:val="24"/>
        </w:rPr>
      </w:pPr>
      <w:r w:rsidRPr="00693C18">
        <w:rPr>
          <w:rFonts w:ascii="Times New Roman" w:hAnsi="Times New Roman" w:cs="Times New Roman"/>
          <w:sz w:val="24"/>
          <w:szCs w:val="24"/>
        </w:rPr>
        <w:t xml:space="preserve">Ukupan iznos proračuna planiran na temelju Programa iznosi </w:t>
      </w:r>
      <w:r w:rsidR="00411776">
        <w:rPr>
          <w:rFonts w:ascii="Times New Roman" w:hAnsi="Times New Roman" w:cs="Times New Roman"/>
          <w:sz w:val="24"/>
          <w:szCs w:val="24"/>
        </w:rPr>
        <w:t>1</w:t>
      </w:r>
      <w:r w:rsidRPr="00693C18">
        <w:rPr>
          <w:rFonts w:ascii="Times New Roman" w:hAnsi="Times New Roman" w:cs="Times New Roman"/>
          <w:sz w:val="24"/>
          <w:szCs w:val="24"/>
        </w:rPr>
        <w:t>.</w:t>
      </w:r>
      <w:r w:rsidR="00411776">
        <w:rPr>
          <w:rFonts w:ascii="Times New Roman" w:hAnsi="Times New Roman" w:cs="Times New Roman"/>
          <w:sz w:val="24"/>
          <w:szCs w:val="24"/>
        </w:rPr>
        <w:t>055</w:t>
      </w:r>
      <w:r w:rsidRPr="00693C18">
        <w:rPr>
          <w:rFonts w:ascii="Times New Roman" w:hAnsi="Times New Roman" w:cs="Times New Roman"/>
          <w:sz w:val="24"/>
          <w:szCs w:val="24"/>
        </w:rPr>
        <w:t>.000.000,00 HRK.</w:t>
      </w:r>
    </w:p>
    <w:p w14:paraId="6BB9A7E4"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U slučaju povećanja planiranog proračuna Republika Hrvatska će o navedenom obavijestiti Europsku komisiju.</w:t>
      </w:r>
    </w:p>
    <w:p w14:paraId="4C6AC83E"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Potpore iz ovog Programa spojive su s unutarnjim tržištem u smislu članka 107. stavka 3. točke (b) Ugovora o funkcioniranju Europske unije (u daljnjem tekstu: UFEU) te </w:t>
      </w:r>
      <w:r w:rsidRPr="00667F7A">
        <w:rPr>
          <w:rFonts w:ascii="Times New Roman" w:hAnsi="Times New Roman" w:cs="Times New Roman"/>
          <w:sz w:val="24"/>
          <w:szCs w:val="24"/>
        </w:rPr>
        <w:t>Program podliježe</w:t>
      </w:r>
      <w:r w:rsidRPr="0089172D">
        <w:rPr>
          <w:rFonts w:ascii="Times New Roman" w:hAnsi="Times New Roman" w:cs="Times New Roman"/>
          <w:sz w:val="24"/>
          <w:szCs w:val="24"/>
        </w:rPr>
        <w:t xml:space="preserve"> prijavi Europskoj komisiji na ocjenu u skladu sa člankom 108. stavkom 3. UFEU.</w:t>
      </w:r>
    </w:p>
    <w:p w14:paraId="3790DA73"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Ovaj Program usklađen je i primjenjuje se u skladu sa </w:t>
      </w:r>
      <w:r w:rsidRPr="00371FD5">
        <w:rPr>
          <w:rFonts w:ascii="Times New Roman" w:hAnsi="Times New Roman" w:cs="Times New Roman"/>
          <w:sz w:val="24"/>
          <w:szCs w:val="24"/>
        </w:rPr>
        <w:t>odredbama Zakona o izvršavanju državnog proračuna Republike Hrvatske za 2020. godinu</w:t>
      </w:r>
      <w:r w:rsidRPr="00371FD5">
        <w:rPr>
          <w:rStyle w:val="FootnoteReference"/>
          <w:rFonts w:ascii="Times New Roman" w:hAnsi="Times New Roman" w:cs="Times New Roman"/>
          <w:sz w:val="24"/>
          <w:szCs w:val="24"/>
        </w:rPr>
        <w:footnoteReference w:id="2"/>
      </w:r>
      <w:r w:rsidRPr="00371FD5">
        <w:rPr>
          <w:rFonts w:ascii="Times New Roman" w:hAnsi="Times New Roman" w:cs="Times New Roman"/>
          <w:sz w:val="24"/>
          <w:szCs w:val="24"/>
        </w:rPr>
        <w:t xml:space="preserve">, </w:t>
      </w:r>
      <w:r w:rsidR="003C3AE6" w:rsidRPr="00371FD5">
        <w:rPr>
          <w:rFonts w:ascii="Times New Roman" w:hAnsi="Times New Roman" w:cs="Times New Roman"/>
          <w:sz w:val="24"/>
          <w:szCs w:val="24"/>
        </w:rPr>
        <w:t xml:space="preserve">Zakona o izvršavanju državnog </w:t>
      </w:r>
      <w:r w:rsidR="003C3AE6" w:rsidRPr="00371FD5">
        <w:rPr>
          <w:rFonts w:ascii="Times New Roman" w:hAnsi="Times New Roman" w:cs="Times New Roman"/>
          <w:sz w:val="24"/>
          <w:szCs w:val="24"/>
        </w:rPr>
        <w:lastRenderedPageBreak/>
        <w:t>proračuna za 2021. godinu</w:t>
      </w:r>
      <w:r w:rsidR="003C3AE6" w:rsidRPr="00371FD5">
        <w:rPr>
          <w:rStyle w:val="FootnoteReference"/>
          <w:rFonts w:ascii="Times New Roman" w:hAnsi="Times New Roman" w:cs="Times New Roman"/>
          <w:sz w:val="24"/>
          <w:szCs w:val="24"/>
        </w:rPr>
        <w:footnoteReference w:id="3"/>
      </w:r>
      <w:r w:rsidR="003C3AE6" w:rsidRPr="00371FD5">
        <w:rPr>
          <w:rFonts w:ascii="Times New Roman" w:hAnsi="Times New Roman" w:cs="Times New Roman"/>
          <w:sz w:val="24"/>
          <w:szCs w:val="24"/>
        </w:rPr>
        <w:t xml:space="preserve">, </w:t>
      </w:r>
      <w:r w:rsidRPr="0089172D">
        <w:rPr>
          <w:rFonts w:ascii="Times New Roman" w:hAnsi="Times New Roman" w:cs="Times New Roman"/>
          <w:sz w:val="24"/>
          <w:szCs w:val="24"/>
        </w:rPr>
        <w:t>Zakona o poticanju razvoja malog gospodarstva</w:t>
      </w:r>
      <w:r w:rsidRPr="0089172D">
        <w:rPr>
          <w:rStyle w:val="FootnoteReference"/>
          <w:rFonts w:ascii="Times New Roman" w:hAnsi="Times New Roman" w:cs="Times New Roman"/>
          <w:sz w:val="24"/>
          <w:szCs w:val="24"/>
        </w:rPr>
        <w:footnoteReference w:id="4"/>
      </w:r>
      <w:r w:rsidRPr="0089172D">
        <w:rPr>
          <w:rFonts w:ascii="Times New Roman" w:hAnsi="Times New Roman" w:cs="Times New Roman"/>
          <w:sz w:val="24"/>
          <w:szCs w:val="24"/>
        </w:rPr>
        <w:t xml:space="preserve"> i Zakona o </w:t>
      </w:r>
      <w:r>
        <w:rPr>
          <w:rFonts w:ascii="Times New Roman" w:hAnsi="Times New Roman" w:cs="Times New Roman"/>
          <w:sz w:val="24"/>
          <w:szCs w:val="24"/>
        </w:rPr>
        <w:t>H</w:t>
      </w:r>
      <w:r w:rsidRPr="0089172D">
        <w:rPr>
          <w:rFonts w:ascii="Times New Roman" w:hAnsi="Times New Roman" w:cs="Times New Roman"/>
          <w:sz w:val="24"/>
          <w:szCs w:val="24"/>
        </w:rPr>
        <w:t>rvatskoj banci za obnovu i razvitak</w:t>
      </w:r>
      <w:r w:rsidRPr="0089172D">
        <w:rPr>
          <w:rStyle w:val="FootnoteReference"/>
          <w:rFonts w:ascii="Times New Roman" w:hAnsi="Times New Roman" w:cs="Times New Roman"/>
          <w:sz w:val="24"/>
          <w:szCs w:val="24"/>
        </w:rPr>
        <w:footnoteReference w:id="5"/>
      </w:r>
      <w:r w:rsidRPr="0089172D">
        <w:rPr>
          <w:rFonts w:ascii="Times New Roman" w:hAnsi="Times New Roman" w:cs="Times New Roman"/>
          <w:sz w:val="24"/>
          <w:szCs w:val="24"/>
        </w:rPr>
        <w:t>.</w:t>
      </w:r>
    </w:p>
    <w:p w14:paraId="4B194525" w14:textId="77777777" w:rsidR="001D3C02" w:rsidRDefault="001D3C02" w:rsidP="001D3C02">
      <w:pPr>
        <w:spacing w:after="240" w:line="360" w:lineRule="auto"/>
        <w:jc w:val="center"/>
        <w:rPr>
          <w:rFonts w:ascii="Times New Roman" w:hAnsi="Times New Roman" w:cs="Times New Roman"/>
          <w:b/>
          <w:sz w:val="24"/>
          <w:szCs w:val="24"/>
        </w:rPr>
      </w:pPr>
    </w:p>
    <w:p w14:paraId="237E6E57" w14:textId="77777777" w:rsidR="001D3C02" w:rsidRPr="0089172D" w:rsidRDefault="001D3C02" w:rsidP="001D3C02">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III.</w:t>
      </w:r>
    </w:p>
    <w:p w14:paraId="445BC789" w14:textId="77777777" w:rsidR="001D3C02" w:rsidRPr="0089172D" w:rsidRDefault="001D3C02" w:rsidP="001D3C02">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 xml:space="preserve">Prihvatljivi korisnici </w:t>
      </w:r>
    </w:p>
    <w:p w14:paraId="1002BAFF"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Ovaj Program primjenjuje se na cijelom teritoriju Republike Hrvatske i odnosi se na sljedeće djelatnosti (prema Nacionalnoj klasifikaciji djelatnosti – NKD/NACE Rev2</w:t>
      </w:r>
      <w:r w:rsidRPr="0089172D">
        <w:rPr>
          <w:rStyle w:val="FootnoteReference"/>
          <w:rFonts w:ascii="Times New Roman" w:hAnsi="Times New Roman" w:cs="Times New Roman"/>
          <w:sz w:val="24"/>
          <w:szCs w:val="24"/>
        </w:rPr>
        <w:footnoteReference w:id="6"/>
      </w:r>
      <w:r w:rsidRPr="0089172D">
        <w:rPr>
          <w:rFonts w:ascii="Times New Roman" w:hAnsi="Times New Roman" w:cs="Times New Roman"/>
          <w:sz w:val="24"/>
          <w:szCs w:val="24"/>
        </w:rPr>
        <w:t xml:space="preserve">): </w:t>
      </w:r>
    </w:p>
    <w:p w14:paraId="53CC9583"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42.91 Gradnja vodnih građevina</w:t>
      </w:r>
    </w:p>
    <w:p w14:paraId="6A90AA5D"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49.10 Željeznički prijevoz putnika, međugradski</w:t>
      </w:r>
    </w:p>
    <w:p w14:paraId="4AE4A194"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49.20 Željeznički prijevoz robe</w:t>
      </w:r>
    </w:p>
    <w:p w14:paraId="401784E8" w14:textId="77777777" w:rsidR="001D3C02"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49.31 Gradski i prigradski kopneni prijevoz putnika </w:t>
      </w:r>
    </w:p>
    <w:p w14:paraId="61527F76" w14:textId="77777777" w:rsidR="001D3C02" w:rsidRPr="00FC2D0C" w:rsidRDefault="001D3C02" w:rsidP="001D3C02">
      <w:pPr>
        <w:spacing w:after="240" w:line="360" w:lineRule="auto"/>
        <w:jc w:val="both"/>
        <w:rPr>
          <w:rFonts w:ascii="Times New Roman" w:hAnsi="Times New Roman" w:cs="Times New Roman"/>
          <w:sz w:val="24"/>
          <w:szCs w:val="24"/>
        </w:rPr>
      </w:pPr>
      <w:r w:rsidRPr="00FC2D0C">
        <w:rPr>
          <w:rFonts w:ascii="Times New Roman" w:hAnsi="Times New Roman" w:cs="Times New Roman"/>
          <w:sz w:val="24"/>
          <w:szCs w:val="24"/>
        </w:rPr>
        <w:t>49.32. Taksi služba</w:t>
      </w:r>
    </w:p>
    <w:p w14:paraId="34F0C123" w14:textId="77777777" w:rsidR="001D3C02"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49.39 Ostali kopneni prijevoz</w:t>
      </w:r>
    </w:p>
    <w:p w14:paraId="132E2B71" w14:textId="77777777" w:rsidR="001D3C02" w:rsidRPr="00EC54C6" w:rsidRDefault="001D3C02" w:rsidP="001D3C02">
      <w:pPr>
        <w:spacing w:after="240" w:line="360" w:lineRule="auto"/>
        <w:jc w:val="both"/>
        <w:rPr>
          <w:rFonts w:ascii="Times New Roman" w:hAnsi="Times New Roman" w:cs="Times New Roman"/>
          <w:sz w:val="24"/>
          <w:szCs w:val="24"/>
        </w:rPr>
      </w:pPr>
      <w:r w:rsidRPr="00EC54C6">
        <w:rPr>
          <w:rFonts w:ascii="Times New Roman" w:hAnsi="Times New Roman" w:cs="Times New Roman"/>
          <w:sz w:val="24"/>
          <w:szCs w:val="24"/>
        </w:rPr>
        <w:t>49.41. Cestovni prijevoz robe</w:t>
      </w:r>
    </w:p>
    <w:p w14:paraId="6D454BB7"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50.10 Pomorski i obalni prijevoz putnika</w:t>
      </w:r>
    </w:p>
    <w:p w14:paraId="16769821"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50.30 Prijevoz putnika unutarnjim vodnim putovima</w:t>
      </w:r>
    </w:p>
    <w:p w14:paraId="5EB6EC26"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50.40 Prijevoz robe unutarnjim vodnim putovima</w:t>
      </w:r>
    </w:p>
    <w:p w14:paraId="2A8E568E"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51.10 Zračni prijevoz putnika</w:t>
      </w:r>
    </w:p>
    <w:p w14:paraId="319B5CE1"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51.21 Zračni prijevoz robe</w:t>
      </w:r>
    </w:p>
    <w:p w14:paraId="3046EEAB"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lastRenderedPageBreak/>
        <w:t>50.20 Pomorski i obalni prijevoz robe</w:t>
      </w:r>
    </w:p>
    <w:p w14:paraId="2C3EE22D"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52.10 Skladištenje robe</w:t>
      </w:r>
    </w:p>
    <w:p w14:paraId="1E557725" w14:textId="1462C479" w:rsidR="001D3C02"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52.2 Uslužne djelatnosti u prometu</w:t>
      </w:r>
    </w:p>
    <w:p w14:paraId="4FC87618" w14:textId="77777777" w:rsidR="001D3C02" w:rsidRPr="00FC2D0C" w:rsidRDefault="001D3C02" w:rsidP="001D3C02">
      <w:pPr>
        <w:spacing w:after="240" w:line="360" w:lineRule="auto"/>
        <w:jc w:val="both"/>
        <w:rPr>
          <w:rFonts w:ascii="Times New Roman" w:hAnsi="Times New Roman" w:cs="Times New Roman"/>
          <w:sz w:val="24"/>
          <w:szCs w:val="24"/>
        </w:rPr>
      </w:pPr>
      <w:r w:rsidRPr="00FC2D0C">
        <w:rPr>
          <w:rFonts w:ascii="Times New Roman" w:hAnsi="Times New Roman" w:cs="Times New Roman"/>
          <w:sz w:val="24"/>
          <w:szCs w:val="24"/>
        </w:rPr>
        <w:t>77.11. Iznajmljivanje i davanje u zakup (</w:t>
      </w:r>
      <w:proofErr w:type="spellStart"/>
      <w:r w:rsidRPr="00FC2D0C">
        <w:rPr>
          <w:rFonts w:ascii="Times New Roman" w:hAnsi="Times New Roman" w:cs="Times New Roman"/>
          <w:sz w:val="24"/>
          <w:szCs w:val="24"/>
        </w:rPr>
        <w:t>leasing</w:t>
      </w:r>
      <w:proofErr w:type="spellEnd"/>
      <w:r w:rsidRPr="00FC2D0C">
        <w:rPr>
          <w:rFonts w:ascii="Times New Roman" w:hAnsi="Times New Roman" w:cs="Times New Roman"/>
          <w:sz w:val="24"/>
          <w:szCs w:val="24"/>
        </w:rPr>
        <w:t>) motornih vozila</w:t>
      </w:r>
    </w:p>
    <w:p w14:paraId="586764A3"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77.34 Iznajmljivanje i davanje u zakup (</w:t>
      </w:r>
      <w:proofErr w:type="spellStart"/>
      <w:r w:rsidRPr="0089172D">
        <w:rPr>
          <w:rFonts w:ascii="Times New Roman" w:hAnsi="Times New Roman" w:cs="Times New Roman"/>
          <w:sz w:val="24"/>
          <w:szCs w:val="24"/>
        </w:rPr>
        <w:t>leasing</w:t>
      </w:r>
      <w:proofErr w:type="spellEnd"/>
      <w:r w:rsidRPr="0089172D">
        <w:rPr>
          <w:rFonts w:ascii="Times New Roman" w:hAnsi="Times New Roman" w:cs="Times New Roman"/>
          <w:sz w:val="24"/>
          <w:szCs w:val="24"/>
        </w:rPr>
        <w:t>) plovnih prijevoznih sredstava</w:t>
      </w:r>
    </w:p>
    <w:p w14:paraId="118CACF7"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79.11 Djelatnost putničkih agencija (povezane s nautičkim prometom)</w:t>
      </w:r>
    </w:p>
    <w:p w14:paraId="5CD43AD9"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79.12 Djelatnost organizatora putovanja (turoperatori) ako su povezane s nautičkim prometom</w:t>
      </w:r>
    </w:p>
    <w:p w14:paraId="54E27CBC"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93.29 Luke nautičkog turizma.</w:t>
      </w:r>
    </w:p>
    <w:p w14:paraId="0FD81357"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Program se primjenjuje i na djelatnosti koje se odnose na gradnju, tehničko unapređenje, prometno-tehničku modernizaciju vodnih putova, tehničko održavanje i osposobljavanje vodnih putova i objekata sigurnosti plovidbe onesposobljenih zbog elementarnih nepogoda (NKD 08.1, 30.11, 33.15, 43.1). </w:t>
      </w:r>
    </w:p>
    <w:p w14:paraId="6F6A9851" w14:textId="77777777" w:rsidR="001D3C02" w:rsidRPr="0089172D" w:rsidRDefault="001D3C02" w:rsidP="001D3C02">
      <w:pPr>
        <w:pStyle w:val="ListParagraph3"/>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Prihvatljivi korisnici potpora iz ovog Programa su poduzetnici koji obavljaju djelatnosti iz stavka 1. ove točke, a svrstani su u mala, srednja i velika poduzeća prema kategorijama poduzeća iz Priloga 1. Uredbe Komisije (EU) br. 651/2014 </w:t>
      </w:r>
      <w:proofErr w:type="spellStart"/>
      <w:r w:rsidRPr="0089172D">
        <w:rPr>
          <w:rFonts w:ascii="Times New Roman" w:hAnsi="Times New Roman"/>
          <w:sz w:val="24"/>
          <w:szCs w:val="24"/>
          <w:lang w:val="hr-HR"/>
        </w:rPr>
        <w:t>оd</w:t>
      </w:r>
      <w:proofErr w:type="spellEnd"/>
      <w:r w:rsidRPr="0089172D">
        <w:rPr>
          <w:rFonts w:ascii="Times New Roman" w:hAnsi="Times New Roman"/>
          <w:sz w:val="24"/>
          <w:szCs w:val="24"/>
          <w:lang w:val="hr-HR"/>
        </w:rPr>
        <w:t xml:space="preserve"> 17. lipnja 2014. o ocjenjivanju određenih kategorija potpora spojivima s unutarnjim tržištem u primjeni članaka 107. i 108. Ugovora</w:t>
      </w:r>
      <w:r w:rsidRPr="0089172D">
        <w:rPr>
          <w:rStyle w:val="FootnoteReference"/>
          <w:rFonts w:ascii="Times New Roman" w:hAnsi="Times New Roman"/>
          <w:sz w:val="24"/>
          <w:szCs w:val="24"/>
        </w:rPr>
        <w:footnoteReference w:id="7"/>
      </w:r>
      <w:r w:rsidRPr="0089172D">
        <w:rPr>
          <w:rFonts w:ascii="Times New Roman" w:hAnsi="Times New Roman"/>
          <w:sz w:val="24"/>
          <w:szCs w:val="24"/>
          <w:lang w:val="hr-HR"/>
        </w:rPr>
        <w:t xml:space="preserve"> (u daljnjem tekstu: Uredba Komisije br. 651/2014).</w:t>
      </w:r>
    </w:p>
    <w:p w14:paraId="67623F9A" w14:textId="77777777" w:rsidR="001D3C02" w:rsidRDefault="001D3C02" w:rsidP="001D3C02">
      <w:pPr>
        <w:pStyle w:val="ListParagraph3"/>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Prihvatljivi korisnici potpora iz stavka 2. ove točke mogu ostvariti pravo na potporu pod uvjetom da su suočeni s manjkom likvidnosti jer je njihova poslovna aktivnost smanjena ili u cijelosti obustavljena zbog izvanrednih okolnosti prouzročenih </w:t>
      </w:r>
      <w:proofErr w:type="spellStart"/>
      <w:r w:rsidRPr="0089172D">
        <w:rPr>
          <w:rFonts w:ascii="Times New Roman" w:hAnsi="Times New Roman"/>
          <w:sz w:val="24"/>
          <w:szCs w:val="24"/>
          <w:lang w:val="hr-HR"/>
        </w:rPr>
        <w:t>pandemijom</w:t>
      </w:r>
      <w:proofErr w:type="spellEnd"/>
      <w:r w:rsidRPr="0089172D">
        <w:rPr>
          <w:rFonts w:ascii="Times New Roman" w:hAnsi="Times New Roman"/>
          <w:sz w:val="24"/>
          <w:szCs w:val="24"/>
          <w:lang w:val="hr-HR"/>
        </w:rPr>
        <w:t xml:space="preserve"> COVID-a 19, odnosno ako su suočeni s poteškoćama u poslovanju koje su posljedica te </w:t>
      </w:r>
      <w:proofErr w:type="spellStart"/>
      <w:r w:rsidRPr="0089172D">
        <w:rPr>
          <w:rFonts w:ascii="Times New Roman" w:hAnsi="Times New Roman"/>
          <w:sz w:val="24"/>
          <w:szCs w:val="24"/>
          <w:lang w:val="hr-HR"/>
        </w:rPr>
        <w:t>pandemije</w:t>
      </w:r>
      <w:proofErr w:type="spellEnd"/>
      <w:r w:rsidRPr="0089172D">
        <w:rPr>
          <w:rFonts w:ascii="Times New Roman" w:hAnsi="Times New Roman"/>
          <w:sz w:val="24"/>
          <w:szCs w:val="24"/>
          <w:lang w:val="hr-HR"/>
        </w:rPr>
        <w:t>.</w:t>
      </w:r>
    </w:p>
    <w:p w14:paraId="3F2EF19A" w14:textId="77777777" w:rsidR="001D3C02" w:rsidRPr="00EC54C6" w:rsidRDefault="001D3C02" w:rsidP="001D3C02">
      <w:pPr>
        <w:pStyle w:val="ListParagraph3"/>
        <w:spacing w:after="240" w:line="360" w:lineRule="auto"/>
        <w:ind w:left="0"/>
        <w:contextualSpacing w:val="0"/>
        <w:jc w:val="both"/>
        <w:rPr>
          <w:rFonts w:ascii="Times New Roman" w:hAnsi="Times New Roman"/>
          <w:bCs/>
          <w:sz w:val="24"/>
          <w:szCs w:val="24"/>
          <w:lang w:val="hr-HR"/>
        </w:rPr>
      </w:pPr>
      <w:r w:rsidRPr="00EC54C6">
        <w:rPr>
          <w:rFonts w:ascii="Times New Roman" w:hAnsi="Times New Roman"/>
          <w:bCs/>
          <w:sz w:val="24"/>
          <w:szCs w:val="24"/>
          <w:lang w:val="hr-HR"/>
        </w:rPr>
        <w:t>Prihvatljivim korisnicima smatraju se i oni poduzetnici koji imaju potpisane Ugovore o pružanju javnih usluga, a koji u svim ostalim odredbama zadovoljavaju uvjete propisane Programom. Davatelj potpore dužan je osigurati da navedeni korisnici potpora ovog Programa neće zaprimati prekomjernu naknadu uzimajući u obzir sve javne mjere koje koriste.</w:t>
      </w:r>
    </w:p>
    <w:p w14:paraId="06F7880D" w14:textId="77777777" w:rsidR="001D3C02" w:rsidRPr="0089172D" w:rsidRDefault="001D3C02" w:rsidP="001D3C02">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sz w:val="24"/>
          <w:szCs w:val="24"/>
          <w:lang w:val="hr-HR"/>
        </w:rPr>
        <w:lastRenderedPageBreak/>
        <w:t xml:space="preserve">Smatra se da poteškoće u poslovanju koje su posljedica </w:t>
      </w:r>
      <w:proofErr w:type="spellStart"/>
      <w:r w:rsidRPr="0089172D">
        <w:rPr>
          <w:rFonts w:ascii="Times New Roman" w:hAnsi="Times New Roman"/>
          <w:sz w:val="24"/>
          <w:szCs w:val="24"/>
          <w:lang w:val="hr-HR"/>
        </w:rPr>
        <w:t>pandemije</w:t>
      </w:r>
      <w:proofErr w:type="spellEnd"/>
      <w:r w:rsidRPr="0089172D">
        <w:rPr>
          <w:rFonts w:ascii="Times New Roman" w:hAnsi="Times New Roman"/>
          <w:sz w:val="24"/>
          <w:szCs w:val="24"/>
          <w:lang w:val="hr-HR"/>
        </w:rPr>
        <w:t xml:space="preserve"> COVID-a19 imaju poduzetnici koji su:</w:t>
      </w:r>
    </w:p>
    <w:p w14:paraId="612B0BCD" w14:textId="77777777" w:rsidR="001D3C02" w:rsidRDefault="001D3C02" w:rsidP="001D3C02">
      <w:pPr>
        <w:pStyle w:val="ListParagraph3"/>
        <w:spacing w:after="240" w:line="360" w:lineRule="auto"/>
        <w:ind w:left="709" w:hanging="425"/>
        <w:contextualSpacing w:val="0"/>
        <w:jc w:val="both"/>
        <w:rPr>
          <w:rFonts w:ascii="Times New Roman" w:hAnsi="Times New Roman"/>
          <w:sz w:val="24"/>
          <w:szCs w:val="24"/>
          <w:lang w:val="hr-HR"/>
        </w:rPr>
      </w:pPr>
      <w:r>
        <w:rPr>
          <w:rFonts w:ascii="Times New Roman" w:hAnsi="Times New Roman"/>
          <w:sz w:val="24"/>
          <w:szCs w:val="24"/>
          <w:lang w:val="hr-HR"/>
        </w:rPr>
        <w:tab/>
      </w:r>
    </w:p>
    <w:p w14:paraId="4B709056" w14:textId="73382E57" w:rsidR="001D3C02" w:rsidRPr="007934A0" w:rsidRDefault="001D3C02" w:rsidP="001D3C02">
      <w:pPr>
        <w:pStyle w:val="ListParagraph3"/>
        <w:spacing w:after="240" w:line="360" w:lineRule="auto"/>
        <w:ind w:left="709" w:hanging="425"/>
        <w:contextualSpacing w:val="0"/>
        <w:jc w:val="both"/>
        <w:rPr>
          <w:rFonts w:ascii="Times New Roman" w:hAnsi="Times New Roman"/>
          <w:bCs/>
          <w:sz w:val="24"/>
          <w:szCs w:val="24"/>
          <w:lang w:val="hr-HR"/>
        </w:rPr>
      </w:pPr>
      <w:r>
        <w:rPr>
          <w:rFonts w:ascii="Times New Roman" w:hAnsi="Times New Roman"/>
          <w:sz w:val="24"/>
          <w:szCs w:val="24"/>
          <w:lang w:val="hr-HR"/>
        </w:rPr>
        <w:t>-</w:t>
      </w:r>
      <w:r w:rsidR="002653C3">
        <w:rPr>
          <w:rFonts w:ascii="Times New Roman" w:hAnsi="Times New Roman"/>
          <w:sz w:val="24"/>
          <w:szCs w:val="24"/>
          <w:lang w:val="hr-HR"/>
        </w:rPr>
        <w:tab/>
      </w:r>
      <w:r w:rsidRPr="0089172D">
        <w:rPr>
          <w:rFonts w:ascii="Times New Roman" w:hAnsi="Times New Roman"/>
          <w:sz w:val="24"/>
          <w:szCs w:val="24"/>
          <w:lang w:val="hr-HR"/>
        </w:rPr>
        <w:t>ostvarili značajan pad poslovnih prihoda u odgovarajućem razdoblju 2020. godine</w:t>
      </w:r>
      <w:r w:rsidR="003C3AE6">
        <w:rPr>
          <w:rFonts w:ascii="Times New Roman" w:hAnsi="Times New Roman"/>
          <w:sz w:val="24"/>
          <w:szCs w:val="24"/>
          <w:lang w:val="hr-HR"/>
        </w:rPr>
        <w:t xml:space="preserve">, </w:t>
      </w:r>
      <w:r w:rsidR="003C3AE6" w:rsidRPr="00371FD5">
        <w:rPr>
          <w:rFonts w:ascii="Times New Roman" w:hAnsi="Times New Roman"/>
          <w:sz w:val="24"/>
          <w:szCs w:val="24"/>
          <w:lang w:val="hr-HR"/>
        </w:rPr>
        <w:t xml:space="preserve">odnosno 2021. </w:t>
      </w:r>
      <w:r w:rsidR="00B75376" w:rsidRPr="00371FD5">
        <w:rPr>
          <w:rFonts w:ascii="Times New Roman" w:hAnsi="Times New Roman"/>
          <w:sz w:val="24"/>
          <w:szCs w:val="24"/>
          <w:lang w:val="hr-HR"/>
        </w:rPr>
        <w:t>g</w:t>
      </w:r>
      <w:r w:rsidR="003C3AE6" w:rsidRPr="00371FD5">
        <w:rPr>
          <w:rFonts w:ascii="Times New Roman" w:hAnsi="Times New Roman"/>
          <w:sz w:val="24"/>
          <w:szCs w:val="24"/>
          <w:lang w:val="hr-HR"/>
        </w:rPr>
        <w:t>odine</w:t>
      </w:r>
      <w:r w:rsidR="003C15EC" w:rsidRPr="00371FD5">
        <w:rPr>
          <w:rFonts w:ascii="Times New Roman" w:hAnsi="Times New Roman"/>
          <w:sz w:val="24"/>
          <w:szCs w:val="24"/>
          <w:lang w:val="hr-HR"/>
        </w:rPr>
        <w:t xml:space="preserve"> </w:t>
      </w:r>
      <w:r w:rsidRPr="0089172D">
        <w:rPr>
          <w:rFonts w:ascii="Times New Roman" w:hAnsi="Times New Roman"/>
          <w:sz w:val="24"/>
          <w:szCs w:val="24"/>
          <w:lang w:val="hr-HR"/>
        </w:rPr>
        <w:t xml:space="preserve">u odnosu na isto razdoblje 2019. godine i/ili kod kojih se na temelju pokazatelja poslovanja u prvih šest mjeseci </w:t>
      </w:r>
      <w:r w:rsidRPr="00371FD5">
        <w:rPr>
          <w:rFonts w:ascii="Times New Roman" w:hAnsi="Times New Roman"/>
          <w:sz w:val="24"/>
          <w:szCs w:val="24"/>
          <w:lang w:val="hr-HR"/>
        </w:rPr>
        <w:t xml:space="preserve">2020. </w:t>
      </w:r>
      <w:r w:rsidR="00FA76C1" w:rsidRPr="00371FD5">
        <w:rPr>
          <w:rFonts w:ascii="Times New Roman" w:hAnsi="Times New Roman"/>
          <w:sz w:val="24"/>
          <w:szCs w:val="24"/>
          <w:lang w:val="hr-HR"/>
        </w:rPr>
        <w:t xml:space="preserve">(odnosno u prva tri mjeseca 2021. godine) </w:t>
      </w:r>
      <w:r w:rsidRPr="00371FD5">
        <w:rPr>
          <w:rFonts w:ascii="Times New Roman" w:hAnsi="Times New Roman"/>
          <w:sz w:val="24"/>
          <w:szCs w:val="24"/>
          <w:lang w:val="hr-HR"/>
        </w:rPr>
        <w:t>može očekivati ostvarenje poslovnih prihoda za 2020. godinu</w:t>
      </w:r>
      <w:r w:rsidR="00FA76C1" w:rsidRPr="00371FD5">
        <w:rPr>
          <w:rFonts w:ascii="Times New Roman" w:hAnsi="Times New Roman"/>
          <w:sz w:val="24"/>
          <w:szCs w:val="24"/>
          <w:lang w:val="hr-HR"/>
        </w:rPr>
        <w:t xml:space="preserve">, </w:t>
      </w:r>
      <w:r w:rsidR="00DA3596" w:rsidRPr="00371FD5">
        <w:rPr>
          <w:rFonts w:ascii="Times New Roman" w:hAnsi="Times New Roman"/>
          <w:sz w:val="24"/>
          <w:szCs w:val="24"/>
          <w:lang w:val="hr-HR"/>
        </w:rPr>
        <w:t>odnosno za 2021. godinu</w:t>
      </w:r>
      <w:r w:rsidR="00FA76C1" w:rsidRPr="00371FD5">
        <w:rPr>
          <w:rFonts w:ascii="Times New Roman" w:hAnsi="Times New Roman"/>
          <w:sz w:val="24"/>
          <w:szCs w:val="24"/>
          <w:lang w:val="hr-HR"/>
        </w:rPr>
        <w:t>,</w:t>
      </w:r>
      <w:r w:rsidRPr="00371FD5">
        <w:rPr>
          <w:rFonts w:ascii="Times New Roman" w:hAnsi="Times New Roman"/>
          <w:sz w:val="24"/>
          <w:szCs w:val="24"/>
          <w:lang w:val="hr-HR"/>
        </w:rPr>
        <w:t xml:space="preserve"> na razini koja je značajno niža (najmanje 20%) od poslovnih prihoda ostvarenih u 2019. godini;</w:t>
      </w:r>
    </w:p>
    <w:p w14:paraId="385E1D6B" w14:textId="2C1814AC" w:rsidR="001D3C02" w:rsidRPr="001D3C02" w:rsidRDefault="001D3C02" w:rsidP="001D3C02">
      <w:pPr>
        <w:pStyle w:val="ListParagraph3"/>
        <w:spacing w:after="240" w:line="360" w:lineRule="auto"/>
        <w:ind w:left="709" w:hanging="425"/>
        <w:contextualSpacing w:val="0"/>
        <w:jc w:val="both"/>
        <w:rPr>
          <w:rFonts w:ascii="Times New Roman" w:hAnsi="Times New Roman"/>
          <w:bCs/>
          <w:sz w:val="24"/>
          <w:szCs w:val="24"/>
          <w:lang w:val="hr-HR"/>
        </w:rPr>
      </w:pPr>
      <w:r w:rsidRPr="0089172D">
        <w:rPr>
          <w:rFonts w:ascii="Times New Roman" w:hAnsi="Times New Roman"/>
          <w:bCs/>
          <w:sz w:val="24"/>
          <w:szCs w:val="24"/>
          <w:lang w:val="hr-HR"/>
        </w:rPr>
        <w:t>-</w:t>
      </w:r>
      <w:r>
        <w:rPr>
          <w:rFonts w:ascii="Times New Roman" w:hAnsi="Times New Roman"/>
          <w:bCs/>
          <w:sz w:val="24"/>
          <w:szCs w:val="24"/>
          <w:lang w:val="hr-HR"/>
        </w:rPr>
        <w:tab/>
      </w:r>
      <w:r w:rsidRPr="0089172D">
        <w:rPr>
          <w:rFonts w:ascii="Times New Roman" w:hAnsi="Times New Roman"/>
          <w:bCs/>
          <w:sz w:val="24"/>
          <w:szCs w:val="24"/>
          <w:lang w:val="hr-HR"/>
        </w:rPr>
        <w:t>ostvarili fizički pad prometa i/ili prijevoza putnika i robe, rezervacija putovanja i turističkih posjeta i slično u 2020. godini</w:t>
      </w:r>
      <w:r w:rsidR="003C3AE6">
        <w:rPr>
          <w:rFonts w:ascii="Times New Roman" w:hAnsi="Times New Roman"/>
          <w:bCs/>
          <w:sz w:val="24"/>
          <w:szCs w:val="24"/>
          <w:lang w:val="hr-HR"/>
        </w:rPr>
        <w:t xml:space="preserve">, </w:t>
      </w:r>
      <w:r w:rsidR="003C3AE6" w:rsidRPr="00371FD5">
        <w:rPr>
          <w:rFonts w:ascii="Times New Roman" w:hAnsi="Times New Roman"/>
          <w:bCs/>
          <w:sz w:val="24"/>
          <w:szCs w:val="24"/>
          <w:lang w:val="hr-HR"/>
        </w:rPr>
        <w:t>odnosno 2021. godini</w:t>
      </w:r>
      <w:r w:rsidRPr="00371FD5">
        <w:rPr>
          <w:rFonts w:ascii="Times New Roman" w:hAnsi="Times New Roman"/>
          <w:bCs/>
          <w:sz w:val="24"/>
          <w:szCs w:val="24"/>
          <w:lang w:val="hr-HR"/>
        </w:rPr>
        <w:t xml:space="preserve"> odnosu na isto razdoblje 2019. godine i/ili su im otkazani ili na duže vrijeme odgođeni (na najmanje godinu dana) ranije ugovoreni i planirani poslovi i/ili druge poslovne aktivnosti sukladno poslovnim planovima za 2020. godinu</w:t>
      </w:r>
      <w:r w:rsidR="00FA76C1" w:rsidRPr="00371FD5">
        <w:rPr>
          <w:rFonts w:ascii="Times New Roman" w:hAnsi="Times New Roman"/>
          <w:bCs/>
          <w:sz w:val="24"/>
          <w:szCs w:val="24"/>
          <w:lang w:val="hr-HR"/>
        </w:rPr>
        <w:t xml:space="preserve">, </w:t>
      </w:r>
      <w:r w:rsidR="00DA3596" w:rsidRPr="00371FD5">
        <w:rPr>
          <w:rFonts w:ascii="Times New Roman" w:hAnsi="Times New Roman"/>
          <w:bCs/>
          <w:sz w:val="24"/>
          <w:szCs w:val="24"/>
          <w:lang w:val="hr-HR"/>
        </w:rPr>
        <w:t>odnosno 2021. godinu.</w:t>
      </w:r>
    </w:p>
    <w:p w14:paraId="0D9B541C" w14:textId="77777777" w:rsidR="001D3C02" w:rsidRPr="0089172D" w:rsidRDefault="001D3C02" w:rsidP="001D3C02">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89172D">
        <w:rPr>
          <w:rFonts w:ascii="Times New Roman" w:hAnsi="Times New Roman" w:cs="Times New Roman"/>
          <w:b/>
          <w:sz w:val="24"/>
          <w:szCs w:val="24"/>
        </w:rPr>
        <w:t>V.</w:t>
      </w:r>
    </w:p>
    <w:p w14:paraId="1AF67F87" w14:textId="77777777" w:rsidR="001D3C02" w:rsidRPr="0089172D" w:rsidRDefault="001D3C02" w:rsidP="001D3C02">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Neprihvatljivi korisnici</w:t>
      </w:r>
    </w:p>
    <w:p w14:paraId="7D873136" w14:textId="77777777" w:rsidR="001D3C02" w:rsidRPr="00EC54C6" w:rsidRDefault="001D3C02" w:rsidP="001D3C02">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sz w:val="24"/>
          <w:szCs w:val="24"/>
          <w:lang w:val="hr-HR"/>
        </w:rPr>
        <w:t xml:space="preserve">Neprihvatljivim korisnicima potpora iz ovog Programa smatraju se </w:t>
      </w:r>
      <w:r w:rsidRPr="0089172D">
        <w:rPr>
          <w:rFonts w:ascii="Times New Roman" w:hAnsi="Times New Roman"/>
          <w:bCs/>
          <w:sz w:val="24"/>
          <w:szCs w:val="24"/>
          <w:lang w:val="hr-HR"/>
        </w:rPr>
        <w:t>poduzetnici koji su bili u teškoćama n</w:t>
      </w:r>
      <w:r>
        <w:rPr>
          <w:rFonts w:ascii="Times New Roman" w:hAnsi="Times New Roman"/>
          <w:bCs/>
          <w:sz w:val="24"/>
          <w:szCs w:val="24"/>
          <w:lang w:val="hr-HR"/>
        </w:rPr>
        <w:t xml:space="preserve">a dan 31. prosinca 2019. godine, </w:t>
      </w:r>
      <w:r w:rsidRPr="00EC54C6">
        <w:rPr>
          <w:rFonts w:ascii="Times New Roman" w:hAnsi="Times New Roman"/>
          <w:bCs/>
          <w:sz w:val="24"/>
          <w:szCs w:val="24"/>
          <w:lang w:val="hr-HR"/>
        </w:rPr>
        <w:t xml:space="preserve">a izuzev mikro i malih poduzetnika koji su točkom 15. Trećih izmjena Privremenog okvira za mjere državnih potpora u svrhu podrške gospodarstvu u aktualnoj </w:t>
      </w:r>
      <w:proofErr w:type="spellStart"/>
      <w:r w:rsidRPr="00EC54C6">
        <w:rPr>
          <w:rFonts w:ascii="Times New Roman" w:hAnsi="Times New Roman"/>
          <w:bCs/>
          <w:sz w:val="24"/>
          <w:szCs w:val="24"/>
          <w:lang w:val="hr-HR"/>
        </w:rPr>
        <w:t>pandemiji</w:t>
      </w:r>
      <w:proofErr w:type="spellEnd"/>
      <w:r w:rsidRPr="00EC54C6">
        <w:rPr>
          <w:rFonts w:ascii="Times New Roman" w:hAnsi="Times New Roman"/>
          <w:bCs/>
          <w:sz w:val="24"/>
          <w:szCs w:val="24"/>
          <w:lang w:val="hr-HR"/>
        </w:rPr>
        <w:t xml:space="preserve"> COVID-a 19 Europske komisije od dana 29. lipnja 2020. godine definirani kao prihvatljivi korisnici (SL C 218, 2.7.2020. str. 3.; dalje: Treće izmjene).  </w:t>
      </w:r>
      <w:r w:rsidRPr="00371FD5">
        <w:rPr>
          <w:rFonts w:ascii="Times New Roman" w:hAnsi="Times New Roman"/>
          <w:bCs/>
          <w:sz w:val="24"/>
          <w:szCs w:val="24"/>
          <w:lang w:val="hr-HR"/>
        </w:rPr>
        <w:t>Sukladno Odluci Europske komisije (S.A. 58128 od 30.7.2020) navedeni poduzetnici mogu biti korisnici potpora pod uvjetom da se nad njima ne provodi cjelokupni stečajni postupak u skladu s nacionalnim pravom i da nisu primili potporu za sanaciju ili potporu za restrukturiranje</w:t>
      </w:r>
      <w:r w:rsidRPr="00EC54C6">
        <w:rPr>
          <w:rFonts w:ascii="Times New Roman" w:hAnsi="Times New Roman"/>
          <w:bCs/>
          <w:sz w:val="24"/>
          <w:szCs w:val="24"/>
          <w:lang w:val="hr-HR"/>
        </w:rPr>
        <w:t>.</w:t>
      </w:r>
    </w:p>
    <w:p w14:paraId="4677D649" w14:textId="77777777" w:rsidR="001D3C02" w:rsidRPr="0089172D" w:rsidRDefault="001D3C02" w:rsidP="001D3C02">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 xml:space="preserve">Poduzetnikom u teškoćama iz stavka 1. ove točke smatra se poduzetnik koji ispunjava uvjete iz definicije poduzetnik u teškoćama iz članka 2. točke 18. Uredbe </w:t>
      </w:r>
      <w:r w:rsidRPr="0089172D">
        <w:rPr>
          <w:rFonts w:ascii="Times New Roman" w:hAnsi="Times New Roman"/>
          <w:sz w:val="24"/>
          <w:szCs w:val="24"/>
          <w:lang w:val="hr-HR"/>
        </w:rPr>
        <w:t xml:space="preserve">Komisije br. 651/2014 odnosno točke VII. </w:t>
      </w:r>
      <w:proofErr w:type="spellStart"/>
      <w:r w:rsidRPr="0089172D">
        <w:rPr>
          <w:rFonts w:ascii="Times New Roman" w:hAnsi="Times New Roman"/>
          <w:sz w:val="24"/>
          <w:szCs w:val="24"/>
          <w:lang w:val="hr-HR"/>
        </w:rPr>
        <w:t>podtočke</w:t>
      </w:r>
      <w:proofErr w:type="spellEnd"/>
      <w:r w:rsidRPr="0089172D">
        <w:rPr>
          <w:rFonts w:ascii="Times New Roman" w:hAnsi="Times New Roman"/>
          <w:sz w:val="24"/>
          <w:szCs w:val="24"/>
          <w:lang w:val="hr-HR"/>
        </w:rPr>
        <w:t xml:space="preserve"> 10) ovog Programa.</w:t>
      </w:r>
    </w:p>
    <w:p w14:paraId="7E64771F" w14:textId="77777777" w:rsidR="001D3C02" w:rsidRPr="00371FD5" w:rsidRDefault="001D3C02" w:rsidP="001D3C02">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sz w:val="24"/>
          <w:szCs w:val="24"/>
          <w:lang w:val="hr-HR"/>
        </w:rPr>
        <w:lastRenderedPageBreak/>
        <w:t>Potpore iz ovog Programa ne mogu se dodijeliti poduzetnicima koji podliježu neizvršenom nalogu za povrat potpore na temelju prethodne odluke Europske komisije kojom se potpora ocjenjuje nezakonitom i nespojivom s unutarnjim tržištem.</w:t>
      </w:r>
    </w:p>
    <w:p w14:paraId="40D06642" w14:textId="32DDE599" w:rsidR="00F00B10" w:rsidRDefault="001D3C02" w:rsidP="00CB0F58">
      <w:pPr>
        <w:pStyle w:val="ListParagraph3"/>
        <w:spacing w:after="240" w:line="360" w:lineRule="auto"/>
        <w:ind w:left="0"/>
        <w:contextualSpacing w:val="0"/>
        <w:jc w:val="both"/>
      </w:pPr>
      <w:r w:rsidRPr="00371FD5">
        <w:rPr>
          <w:rFonts w:ascii="Times New Roman" w:hAnsi="Times New Roman"/>
          <w:bCs/>
          <w:sz w:val="24"/>
          <w:szCs w:val="24"/>
          <w:lang w:val="hr-HR"/>
        </w:rPr>
        <w:t xml:space="preserve">Potpore iz ovog Programa ne mogu se dodijeliti poduzetnicima koji su u 2020. </w:t>
      </w:r>
      <w:r w:rsidR="003C3AE6" w:rsidRPr="00371FD5">
        <w:rPr>
          <w:rFonts w:ascii="Times New Roman" w:hAnsi="Times New Roman"/>
          <w:bCs/>
          <w:sz w:val="24"/>
          <w:szCs w:val="24"/>
          <w:lang w:val="hr-HR"/>
        </w:rPr>
        <w:t xml:space="preserve">te </w:t>
      </w:r>
      <w:r w:rsidR="00FA76C1" w:rsidRPr="00371FD5">
        <w:rPr>
          <w:rFonts w:ascii="Times New Roman" w:hAnsi="Times New Roman"/>
          <w:bCs/>
          <w:sz w:val="24"/>
          <w:szCs w:val="24"/>
          <w:lang w:val="hr-HR"/>
        </w:rPr>
        <w:t xml:space="preserve">u </w:t>
      </w:r>
      <w:r w:rsidR="003C3AE6" w:rsidRPr="00371FD5">
        <w:rPr>
          <w:rFonts w:ascii="Times New Roman" w:hAnsi="Times New Roman"/>
          <w:bCs/>
          <w:sz w:val="24"/>
          <w:szCs w:val="24"/>
          <w:lang w:val="hr-HR"/>
        </w:rPr>
        <w:t xml:space="preserve">2021. </w:t>
      </w:r>
      <w:r w:rsidRPr="00371FD5">
        <w:rPr>
          <w:rFonts w:ascii="Times New Roman" w:hAnsi="Times New Roman"/>
          <w:bCs/>
          <w:sz w:val="24"/>
          <w:szCs w:val="24"/>
          <w:lang w:val="hr-HR"/>
        </w:rPr>
        <w:t xml:space="preserve">godini </w:t>
      </w:r>
      <w:r w:rsidRPr="0089172D">
        <w:rPr>
          <w:rFonts w:ascii="Times New Roman" w:hAnsi="Times New Roman"/>
          <w:bCs/>
          <w:sz w:val="24"/>
          <w:szCs w:val="24"/>
          <w:lang w:val="hr-HR"/>
        </w:rPr>
        <w:t xml:space="preserve">isplatili dobit/dividendu iz prethodnih razdoblja, osim ako se ne radi o zakonskoj obvezi. </w:t>
      </w:r>
    </w:p>
    <w:p w14:paraId="15EFB6D7" w14:textId="77777777"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Ovaj se Program ne odnosi na poduzetnike koji obavljaju djelatnost primarne poljoprivredne proizvodnje</w:t>
      </w:r>
      <w:r w:rsidRPr="0089172D">
        <w:rPr>
          <w:rStyle w:val="FootnoteReference"/>
          <w:rFonts w:ascii="Times New Roman" w:hAnsi="Times New Roman" w:cs="Times New Roman"/>
          <w:sz w:val="24"/>
          <w:szCs w:val="24"/>
        </w:rPr>
        <w:footnoteReference w:id="8"/>
      </w:r>
      <w:r w:rsidRPr="0089172D">
        <w:rPr>
          <w:rFonts w:ascii="Times New Roman" w:hAnsi="Times New Roman" w:cs="Times New Roman"/>
          <w:sz w:val="24"/>
          <w:szCs w:val="24"/>
        </w:rPr>
        <w:t xml:space="preserve"> i djelatnosti u sektoru ribarstva i akvakulture</w:t>
      </w:r>
      <w:r w:rsidRPr="0089172D">
        <w:rPr>
          <w:rStyle w:val="FootnoteReference"/>
          <w:rFonts w:ascii="Times New Roman" w:hAnsi="Times New Roman" w:cs="Times New Roman"/>
          <w:sz w:val="24"/>
          <w:szCs w:val="24"/>
        </w:rPr>
        <w:footnoteReference w:id="9"/>
      </w:r>
      <w:r w:rsidRPr="0089172D">
        <w:rPr>
          <w:rFonts w:ascii="Times New Roman" w:hAnsi="Times New Roman" w:cs="Times New Roman"/>
          <w:sz w:val="24"/>
          <w:szCs w:val="24"/>
        </w:rPr>
        <w:t>.</w:t>
      </w:r>
    </w:p>
    <w:p w14:paraId="284606D0" w14:textId="30022794"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Potpore iz ovog Programa se ne mogu dodijeliti kreditnim i financijskim institucijama, osim u slučaju ako ih one izravno usmjere na korisnike potpora iz točke III. ovog Programa, a u skladu s odredbama točke V. stavka 3. ovog Programa odnosno odjeljaka 3.1</w:t>
      </w:r>
      <w:r>
        <w:rPr>
          <w:rFonts w:ascii="Times New Roman" w:hAnsi="Times New Roman" w:cs="Times New Roman"/>
          <w:sz w:val="24"/>
          <w:szCs w:val="24"/>
        </w:rPr>
        <w:t xml:space="preserve">., </w:t>
      </w:r>
      <w:r w:rsidRPr="0089172D">
        <w:rPr>
          <w:rFonts w:ascii="Times New Roman" w:hAnsi="Times New Roman" w:cs="Times New Roman"/>
          <w:sz w:val="24"/>
          <w:szCs w:val="24"/>
        </w:rPr>
        <w:t>3.2.</w:t>
      </w:r>
      <w:r w:rsidR="009F15C4">
        <w:rPr>
          <w:rFonts w:ascii="Times New Roman" w:hAnsi="Times New Roman" w:cs="Times New Roman"/>
          <w:sz w:val="24"/>
          <w:szCs w:val="24"/>
        </w:rPr>
        <w:t xml:space="preserve"> i 3.3.</w:t>
      </w:r>
      <w:r w:rsidR="00B75376">
        <w:rPr>
          <w:rFonts w:ascii="Times New Roman" w:hAnsi="Times New Roman" w:cs="Times New Roman"/>
          <w:sz w:val="24"/>
          <w:szCs w:val="24"/>
        </w:rPr>
        <w:t xml:space="preserve"> </w:t>
      </w:r>
      <w:r w:rsidRPr="0089172D">
        <w:rPr>
          <w:rFonts w:ascii="Times New Roman" w:hAnsi="Times New Roman" w:cs="Times New Roman"/>
          <w:sz w:val="24"/>
          <w:szCs w:val="24"/>
        </w:rPr>
        <w:t>Privremenog okvira – COVID 19, u skladu sa zaštitnim mjerama iz odjeljka 3.4. Privremenog okvira – COVID 19.</w:t>
      </w:r>
    </w:p>
    <w:p w14:paraId="21800F97" w14:textId="77777777" w:rsidR="001D3C02" w:rsidRPr="0089172D" w:rsidRDefault="001D3C02" w:rsidP="001D3C02">
      <w:pPr>
        <w:pStyle w:val="ListParagraph"/>
        <w:spacing w:after="240" w:line="360" w:lineRule="auto"/>
        <w:ind w:left="0"/>
        <w:jc w:val="center"/>
        <w:rPr>
          <w:b/>
          <w:lang w:val="hr-HR"/>
        </w:rPr>
      </w:pPr>
      <w:r w:rsidRPr="0089172D">
        <w:rPr>
          <w:b/>
          <w:lang w:val="hr-HR"/>
        </w:rPr>
        <w:t>V.</w:t>
      </w:r>
    </w:p>
    <w:p w14:paraId="48E2C5E8" w14:textId="77777777" w:rsidR="001D3C02" w:rsidRPr="0089172D" w:rsidRDefault="001D3C02" w:rsidP="001D3C02">
      <w:pPr>
        <w:pStyle w:val="ListParagraph"/>
        <w:spacing w:line="360" w:lineRule="auto"/>
        <w:ind w:left="0"/>
        <w:jc w:val="center"/>
        <w:rPr>
          <w:b/>
          <w:lang w:val="hr-HR"/>
        </w:rPr>
      </w:pPr>
      <w:r w:rsidRPr="0089172D">
        <w:rPr>
          <w:b/>
          <w:lang w:val="hr-HR"/>
        </w:rPr>
        <w:t>Oblici (instrumenti) potpora</w:t>
      </w:r>
    </w:p>
    <w:p w14:paraId="3ECF3C02" w14:textId="77777777" w:rsidR="001D3C02" w:rsidRPr="0089172D" w:rsidRDefault="001D3C02" w:rsidP="001D3C02">
      <w:pPr>
        <w:pStyle w:val="ListParagraph"/>
        <w:spacing w:line="360" w:lineRule="auto"/>
        <w:ind w:left="0"/>
        <w:jc w:val="center"/>
        <w:rPr>
          <w:b/>
          <w:lang w:val="hr-HR"/>
        </w:rPr>
      </w:pPr>
    </w:p>
    <w:p w14:paraId="2F3DF3B1" w14:textId="77777777" w:rsidR="001D3C02" w:rsidRPr="0089172D" w:rsidRDefault="001D3C02" w:rsidP="001D3C02">
      <w:pPr>
        <w:spacing w:line="360" w:lineRule="auto"/>
        <w:jc w:val="both"/>
        <w:rPr>
          <w:rStyle w:val="Bodytext285pt"/>
          <w:rFonts w:eastAsia="Calibri"/>
          <w:b/>
          <w:sz w:val="24"/>
          <w:szCs w:val="24"/>
        </w:rPr>
      </w:pPr>
      <w:r w:rsidRPr="0089172D">
        <w:rPr>
          <w:rStyle w:val="Bodytext285pt"/>
          <w:rFonts w:eastAsiaTheme="minorHAnsi"/>
          <w:sz w:val="24"/>
          <w:szCs w:val="24"/>
        </w:rPr>
        <w:t xml:space="preserve">Na </w:t>
      </w:r>
      <w:proofErr w:type="spellStart"/>
      <w:r w:rsidRPr="0089172D">
        <w:rPr>
          <w:rStyle w:val="Bodytext285pt"/>
          <w:rFonts w:eastAsiaTheme="minorHAnsi"/>
          <w:sz w:val="24"/>
          <w:szCs w:val="24"/>
        </w:rPr>
        <w:t>temelju</w:t>
      </w:r>
      <w:proofErr w:type="spellEnd"/>
      <w:r w:rsidRPr="0089172D">
        <w:rPr>
          <w:rStyle w:val="Bodytext285pt"/>
          <w:rFonts w:eastAsiaTheme="minorHAnsi"/>
          <w:sz w:val="24"/>
          <w:szCs w:val="24"/>
        </w:rPr>
        <w:t xml:space="preserve"> </w:t>
      </w:r>
      <w:proofErr w:type="spellStart"/>
      <w:r w:rsidRPr="0089172D">
        <w:rPr>
          <w:rStyle w:val="Bodytext285pt"/>
          <w:rFonts w:eastAsiaTheme="minorHAnsi"/>
          <w:sz w:val="24"/>
          <w:szCs w:val="24"/>
        </w:rPr>
        <w:t>ovog</w:t>
      </w:r>
      <w:proofErr w:type="spellEnd"/>
      <w:r w:rsidRPr="0089172D">
        <w:rPr>
          <w:rStyle w:val="Bodytext285pt"/>
          <w:rFonts w:eastAsiaTheme="minorHAnsi"/>
          <w:sz w:val="24"/>
          <w:szCs w:val="24"/>
        </w:rPr>
        <w:t xml:space="preserve"> </w:t>
      </w:r>
      <w:proofErr w:type="spellStart"/>
      <w:r w:rsidRPr="0089172D">
        <w:rPr>
          <w:rStyle w:val="Bodytext285pt"/>
          <w:rFonts w:eastAsiaTheme="minorHAnsi"/>
          <w:sz w:val="24"/>
          <w:szCs w:val="24"/>
        </w:rPr>
        <w:t>Programa</w:t>
      </w:r>
      <w:proofErr w:type="spellEnd"/>
      <w:r w:rsidRPr="0089172D">
        <w:rPr>
          <w:rStyle w:val="Bodytext285pt"/>
          <w:rFonts w:eastAsiaTheme="minorHAnsi"/>
          <w:sz w:val="24"/>
          <w:szCs w:val="24"/>
        </w:rPr>
        <w:t xml:space="preserve"> </w:t>
      </w:r>
      <w:proofErr w:type="spellStart"/>
      <w:r w:rsidRPr="0089172D">
        <w:rPr>
          <w:rStyle w:val="Bodytext285pt"/>
          <w:rFonts w:eastAsiaTheme="minorHAnsi"/>
          <w:sz w:val="24"/>
          <w:szCs w:val="24"/>
        </w:rPr>
        <w:t>dodjeljivat</w:t>
      </w:r>
      <w:proofErr w:type="spellEnd"/>
      <w:r w:rsidRPr="0089172D">
        <w:rPr>
          <w:rStyle w:val="Bodytext285pt"/>
          <w:rFonts w:eastAsiaTheme="minorHAnsi"/>
          <w:sz w:val="24"/>
          <w:szCs w:val="24"/>
        </w:rPr>
        <w:t xml:space="preserve"> </w:t>
      </w:r>
      <w:proofErr w:type="spellStart"/>
      <w:r w:rsidRPr="0089172D">
        <w:rPr>
          <w:rStyle w:val="Bodytext285pt"/>
          <w:rFonts w:eastAsiaTheme="minorHAnsi"/>
          <w:sz w:val="24"/>
          <w:szCs w:val="24"/>
        </w:rPr>
        <w:t>će</w:t>
      </w:r>
      <w:proofErr w:type="spellEnd"/>
      <w:r w:rsidRPr="0089172D">
        <w:rPr>
          <w:rStyle w:val="Bodytext285pt"/>
          <w:rFonts w:eastAsiaTheme="minorHAnsi"/>
          <w:sz w:val="24"/>
          <w:szCs w:val="24"/>
        </w:rPr>
        <w:t xml:space="preserve"> se </w:t>
      </w:r>
      <w:proofErr w:type="spellStart"/>
      <w:r w:rsidRPr="0089172D">
        <w:rPr>
          <w:rStyle w:val="Bodytext285pt"/>
          <w:rFonts w:eastAsiaTheme="minorHAnsi"/>
          <w:sz w:val="24"/>
          <w:szCs w:val="24"/>
        </w:rPr>
        <w:t>privremene</w:t>
      </w:r>
      <w:proofErr w:type="spellEnd"/>
      <w:r w:rsidRPr="0089172D">
        <w:rPr>
          <w:rStyle w:val="Bodytext285pt"/>
          <w:rFonts w:eastAsiaTheme="minorHAnsi"/>
          <w:sz w:val="24"/>
          <w:szCs w:val="24"/>
        </w:rPr>
        <w:t xml:space="preserve"> </w:t>
      </w:r>
      <w:proofErr w:type="spellStart"/>
      <w:r w:rsidRPr="0089172D">
        <w:rPr>
          <w:rStyle w:val="Bodytext285pt"/>
          <w:rFonts w:eastAsiaTheme="minorHAnsi"/>
          <w:sz w:val="24"/>
          <w:szCs w:val="24"/>
        </w:rPr>
        <w:t>mjere</w:t>
      </w:r>
      <w:proofErr w:type="spellEnd"/>
      <w:r w:rsidRPr="0089172D">
        <w:rPr>
          <w:rStyle w:val="Bodytext285pt"/>
          <w:rFonts w:eastAsiaTheme="minorHAnsi"/>
          <w:sz w:val="24"/>
          <w:szCs w:val="24"/>
        </w:rPr>
        <w:t xml:space="preserve"> u </w:t>
      </w:r>
      <w:proofErr w:type="spellStart"/>
      <w:r w:rsidRPr="0089172D">
        <w:rPr>
          <w:rStyle w:val="Bodytext285pt"/>
          <w:rFonts w:eastAsiaTheme="minorHAnsi"/>
          <w:sz w:val="24"/>
          <w:szCs w:val="24"/>
        </w:rPr>
        <w:t>skladu</w:t>
      </w:r>
      <w:proofErr w:type="spellEnd"/>
      <w:r w:rsidRPr="0089172D">
        <w:rPr>
          <w:rStyle w:val="Bodytext285pt"/>
          <w:rFonts w:eastAsiaTheme="minorHAnsi"/>
          <w:sz w:val="24"/>
          <w:szCs w:val="24"/>
        </w:rPr>
        <w:t xml:space="preserve"> s </w:t>
      </w:r>
      <w:proofErr w:type="spellStart"/>
      <w:r w:rsidRPr="0089172D">
        <w:rPr>
          <w:rStyle w:val="Bodytext285pt"/>
          <w:rFonts w:eastAsiaTheme="minorHAnsi"/>
          <w:sz w:val="24"/>
          <w:szCs w:val="24"/>
        </w:rPr>
        <w:t>Privremenim</w:t>
      </w:r>
      <w:proofErr w:type="spellEnd"/>
      <w:r w:rsidRPr="0089172D">
        <w:rPr>
          <w:rStyle w:val="Bodytext285pt"/>
          <w:rFonts w:eastAsiaTheme="minorHAnsi"/>
          <w:sz w:val="24"/>
          <w:szCs w:val="24"/>
        </w:rPr>
        <w:t xml:space="preserve"> </w:t>
      </w:r>
      <w:proofErr w:type="spellStart"/>
      <w:r w:rsidRPr="0089172D">
        <w:rPr>
          <w:rStyle w:val="Bodytext285pt"/>
          <w:rFonts w:eastAsiaTheme="minorHAnsi"/>
          <w:sz w:val="24"/>
          <w:szCs w:val="24"/>
        </w:rPr>
        <w:t>okvirom</w:t>
      </w:r>
      <w:proofErr w:type="spellEnd"/>
      <w:r w:rsidRPr="0089172D">
        <w:rPr>
          <w:rStyle w:val="Bodytext285pt"/>
          <w:rFonts w:eastAsiaTheme="minorHAnsi"/>
          <w:sz w:val="24"/>
          <w:szCs w:val="24"/>
        </w:rPr>
        <w:t xml:space="preserve"> – COVID 19, i to:</w:t>
      </w:r>
    </w:p>
    <w:p w14:paraId="76BA9468" w14:textId="77777777" w:rsidR="001D3C02" w:rsidRPr="0089172D" w:rsidRDefault="001D3C02" w:rsidP="0043704D">
      <w:pPr>
        <w:spacing w:after="240" w:line="360" w:lineRule="auto"/>
        <w:ind w:left="709" w:hanging="425"/>
        <w:jc w:val="both"/>
        <w:rPr>
          <w:rFonts w:ascii="Times New Roman" w:hAnsi="Times New Roman" w:cs="Times New Roman"/>
          <w:b/>
          <w:sz w:val="24"/>
          <w:szCs w:val="24"/>
        </w:rPr>
      </w:pPr>
      <w:r w:rsidRPr="0089172D">
        <w:rPr>
          <w:rFonts w:ascii="Times New Roman" w:hAnsi="Times New Roman" w:cs="Times New Roman"/>
          <w:sz w:val="24"/>
          <w:szCs w:val="24"/>
        </w:rPr>
        <w:t>1)</w:t>
      </w:r>
      <w:r>
        <w:rPr>
          <w:rFonts w:ascii="Times New Roman" w:hAnsi="Times New Roman" w:cs="Times New Roman"/>
          <w:sz w:val="24"/>
          <w:szCs w:val="24"/>
        </w:rPr>
        <w:tab/>
      </w:r>
      <w:r w:rsidRPr="0089172D">
        <w:rPr>
          <w:rFonts w:ascii="Times New Roman" w:hAnsi="Times New Roman" w:cs="Times New Roman"/>
          <w:sz w:val="24"/>
          <w:szCs w:val="24"/>
        </w:rPr>
        <w:t>potpore u obliku jamstava sukladno uvjetima iz odjeljka „3.1. Ograničeni iznosi potpore“;</w:t>
      </w:r>
    </w:p>
    <w:p w14:paraId="6EDC4214" w14:textId="77777777" w:rsidR="001D3C02" w:rsidRDefault="001D3C02" w:rsidP="0043704D">
      <w:pPr>
        <w:spacing w:after="240" w:line="360" w:lineRule="auto"/>
        <w:ind w:left="709" w:hanging="425"/>
        <w:jc w:val="both"/>
        <w:rPr>
          <w:rFonts w:ascii="Times New Roman" w:hAnsi="Times New Roman" w:cs="Times New Roman"/>
          <w:sz w:val="24"/>
          <w:szCs w:val="24"/>
        </w:rPr>
      </w:pPr>
      <w:r w:rsidRPr="0089172D">
        <w:rPr>
          <w:rFonts w:ascii="Times New Roman" w:hAnsi="Times New Roman" w:cs="Times New Roman"/>
          <w:sz w:val="24"/>
          <w:szCs w:val="24"/>
        </w:rPr>
        <w:t>2)</w:t>
      </w:r>
      <w:r>
        <w:rPr>
          <w:rFonts w:ascii="Times New Roman" w:hAnsi="Times New Roman" w:cs="Times New Roman"/>
          <w:sz w:val="24"/>
          <w:szCs w:val="24"/>
        </w:rPr>
        <w:tab/>
      </w:r>
      <w:r w:rsidRPr="0089172D">
        <w:rPr>
          <w:rFonts w:ascii="Times New Roman" w:hAnsi="Times New Roman" w:cs="Times New Roman"/>
          <w:sz w:val="24"/>
          <w:szCs w:val="24"/>
        </w:rPr>
        <w:t>potpore u obliku jamstava za zajmove sukl</w:t>
      </w:r>
      <w:r>
        <w:rPr>
          <w:rFonts w:ascii="Times New Roman" w:hAnsi="Times New Roman" w:cs="Times New Roman"/>
          <w:sz w:val="24"/>
          <w:szCs w:val="24"/>
        </w:rPr>
        <w:t>a</w:t>
      </w:r>
      <w:r w:rsidRPr="0089172D">
        <w:rPr>
          <w:rFonts w:ascii="Times New Roman" w:hAnsi="Times New Roman" w:cs="Times New Roman"/>
          <w:sz w:val="24"/>
          <w:szCs w:val="24"/>
        </w:rPr>
        <w:t>dno uvjetima iz odjeljka „3.2.</w:t>
      </w:r>
      <w:r w:rsidR="00B75376">
        <w:rPr>
          <w:rFonts w:ascii="Times New Roman" w:hAnsi="Times New Roman" w:cs="Times New Roman"/>
          <w:sz w:val="24"/>
          <w:szCs w:val="24"/>
        </w:rPr>
        <w:t xml:space="preserve"> </w:t>
      </w:r>
      <w:r w:rsidRPr="0089172D">
        <w:rPr>
          <w:rFonts w:ascii="Times New Roman" w:hAnsi="Times New Roman" w:cs="Times New Roman"/>
          <w:sz w:val="24"/>
          <w:szCs w:val="24"/>
        </w:rPr>
        <w:t>Potpora u obliku jamstava za zajmove</w:t>
      </w:r>
      <w:r>
        <w:rPr>
          <w:rFonts w:ascii="Times New Roman" w:hAnsi="Times New Roman" w:cs="Times New Roman"/>
          <w:sz w:val="24"/>
          <w:szCs w:val="24"/>
        </w:rPr>
        <w:t>“;</w:t>
      </w:r>
    </w:p>
    <w:p w14:paraId="53C8349D" w14:textId="43D48FD4"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 xml:space="preserve">Potpore u obliku jamstava iz </w:t>
      </w:r>
      <w:r w:rsidR="00DA3596" w:rsidRPr="00A43F2D">
        <w:rPr>
          <w:rFonts w:ascii="Times New Roman" w:hAnsi="Times New Roman" w:cs="Times New Roman"/>
          <w:sz w:val="24"/>
          <w:szCs w:val="24"/>
        </w:rPr>
        <w:t>stavka 1.</w:t>
      </w:r>
      <w:r w:rsidRPr="0089172D">
        <w:rPr>
          <w:rFonts w:ascii="Times New Roman" w:hAnsi="Times New Roman" w:cs="Times New Roman"/>
          <w:sz w:val="24"/>
          <w:szCs w:val="24"/>
        </w:rPr>
        <w:t xml:space="preserve"> ove točke izravno su usmjerene na korisnike iz točke III. ovog Programa koji su suočeni s iznenadnim manjkom likvidnosti, a ne na kreditne ili druge financijske institucije koje su davatelji zajma za koje se dodjeljuju jamstva. </w:t>
      </w:r>
    </w:p>
    <w:p w14:paraId="4297445A" w14:textId="77777777" w:rsidR="001D3C02" w:rsidRPr="00A31C72"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Prilikom odobravanja jamstva za nove kredite poslovne banke će HBOR-u/HAMAG-BICRO-u nedvojbeno morati dokazati da su prednosti iz jamstva u najvećoj mogućoj mjeri prenijele na </w:t>
      </w:r>
      <w:r w:rsidRPr="0089172D">
        <w:rPr>
          <w:rFonts w:ascii="Times New Roman" w:hAnsi="Times New Roman" w:cs="Times New Roman"/>
          <w:sz w:val="24"/>
          <w:szCs w:val="24"/>
        </w:rPr>
        <w:lastRenderedPageBreak/>
        <w:t xml:space="preserve">korisnike i zaštitnim mjerama onemogućiti neizravne potpore poslovnim bankama te time ograničiti neopravdano narušavanje tržišnog natjecanja. U tom smislu, HBOR/HAMAG-BICRO će ugovornim odnosom s poslovnim bankama u provedbi ovog Programa osigurati uvjete zajma za korisnike mjere državne potpore iz ovog Programa po povoljnijim uvjetima (snižena kamatna stopa i/ili niži zahtjevi za instrumente osiguranja i slično). </w:t>
      </w:r>
    </w:p>
    <w:p w14:paraId="4025F7F4" w14:textId="77777777" w:rsidR="001D3C02" w:rsidRDefault="001D3C02" w:rsidP="001D3C02">
      <w:pPr>
        <w:pStyle w:val="ListParagraph"/>
        <w:spacing w:after="240" w:line="360" w:lineRule="auto"/>
        <w:ind w:left="426"/>
        <w:jc w:val="center"/>
        <w:rPr>
          <w:b/>
          <w:lang w:val="hr-HR"/>
        </w:rPr>
      </w:pPr>
    </w:p>
    <w:p w14:paraId="0BA61B85" w14:textId="77777777" w:rsidR="001D3C02" w:rsidRPr="0089172D" w:rsidRDefault="001D3C02" w:rsidP="001D3C02">
      <w:pPr>
        <w:pStyle w:val="ListParagraph"/>
        <w:spacing w:after="240" w:line="360" w:lineRule="auto"/>
        <w:ind w:left="426"/>
        <w:jc w:val="center"/>
        <w:rPr>
          <w:b/>
          <w:lang w:val="hr-HR"/>
        </w:rPr>
      </w:pPr>
      <w:r w:rsidRPr="0089172D">
        <w:rPr>
          <w:b/>
          <w:lang w:val="hr-HR"/>
        </w:rPr>
        <w:t>VI.</w:t>
      </w:r>
    </w:p>
    <w:p w14:paraId="7E7A628D" w14:textId="77777777" w:rsidR="001D3C02" w:rsidRPr="0089172D" w:rsidRDefault="001D3C02" w:rsidP="001D3C02">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Proračun i trajanje Programa</w:t>
      </w:r>
    </w:p>
    <w:p w14:paraId="3823C5FE" w14:textId="5AE768BB" w:rsidR="001D3C02" w:rsidRPr="00B12469"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Potpore sukladno ovom Programu mogu se dodjeljivati od dana njegova stupanja na snagu, a po odobrenju Europske komisije, pa sve </w:t>
      </w:r>
      <w:r w:rsidRPr="007934A0">
        <w:rPr>
          <w:rFonts w:ascii="Times New Roman" w:hAnsi="Times New Roman" w:cs="Times New Roman"/>
          <w:sz w:val="24"/>
          <w:szCs w:val="24"/>
        </w:rPr>
        <w:t xml:space="preserve">do </w:t>
      </w:r>
      <w:r w:rsidR="00824C7D" w:rsidRPr="007934A0">
        <w:rPr>
          <w:rFonts w:ascii="Times New Roman" w:hAnsi="Times New Roman" w:cs="Times New Roman"/>
          <w:sz w:val="24"/>
          <w:szCs w:val="24"/>
        </w:rPr>
        <w:t>3</w:t>
      </w:r>
      <w:r w:rsidR="00B8467B">
        <w:rPr>
          <w:rFonts w:ascii="Times New Roman" w:hAnsi="Times New Roman" w:cs="Times New Roman"/>
          <w:sz w:val="24"/>
          <w:szCs w:val="24"/>
        </w:rPr>
        <w:t>0</w:t>
      </w:r>
      <w:r w:rsidR="00824C7D" w:rsidRPr="007934A0">
        <w:rPr>
          <w:rFonts w:ascii="Times New Roman" w:hAnsi="Times New Roman" w:cs="Times New Roman"/>
          <w:sz w:val="24"/>
          <w:szCs w:val="24"/>
        </w:rPr>
        <w:t xml:space="preserve">. </w:t>
      </w:r>
      <w:r w:rsidR="00B8467B">
        <w:rPr>
          <w:rFonts w:ascii="Times New Roman" w:hAnsi="Times New Roman" w:cs="Times New Roman"/>
          <w:sz w:val="24"/>
          <w:szCs w:val="24"/>
        </w:rPr>
        <w:t xml:space="preserve">lipnja </w:t>
      </w:r>
      <w:r w:rsidRPr="007934A0">
        <w:rPr>
          <w:rFonts w:ascii="Times New Roman" w:hAnsi="Times New Roman" w:cs="Times New Roman"/>
          <w:sz w:val="24"/>
          <w:szCs w:val="24"/>
        </w:rPr>
        <w:t xml:space="preserve"> 202</w:t>
      </w:r>
      <w:r w:rsidR="00B8467B">
        <w:rPr>
          <w:rFonts w:ascii="Times New Roman" w:hAnsi="Times New Roman" w:cs="Times New Roman"/>
          <w:sz w:val="24"/>
          <w:szCs w:val="24"/>
        </w:rPr>
        <w:t>2</w:t>
      </w:r>
      <w:r w:rsidRPr="007934A0">
        <w:rPr>
          <w:rFonts w:ascii="Times New Roman" w:hAnsi="Times New Roman" w:cs="Times New Roman"/>
          <w:sz w:val="24"/>
          <w:szCs w:val="24"/>
        </w:rPr>
        <w:t>. godine.</w:t>
      </w:r>
    </w:p>
    <w:p w14:paraId="4F6F6409" w14:textId="73A1898D" w:rsidR="001D3C02" w:rsidRPr="0089172D"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Ukupan iznos proračuna planiran na temelju ovog Programa iznos</w:t>
      </w:r>
      <w:r w:rsidR="00411776">
        <w:rPr>
          <w:rFonts w:ascii="Times New Roman" w:hAnsi="Times New Roman" w:cs="Times New Roman"/>
          <w:sz w:val="24"/>
          <w:szCs w:val="24"/>
        </w:rPr>
        <w:t xml:space="preserve"> 1.0</w:t>
      </w:r>
      <w:r w:rsidR="00F30E0D">
        <w:rPr>
          <w:rFonts w:ascii="Times New Roman" w:hAnsi="Times New Roman" w:cs="Times New Roman"/>
          <w:sz w:val="24"/>
          <w:szCs w:val="24"/>
        </w:rPr>
        <w:t>00</w:t>
      </w:r>
      <w:r w:rsidR="00D72732" w:rsidRPr="00D72732">
        <w:rPr>
          <w:rFonts w:ascii="Times New Roman" w:hAnsi="Times New Roman" w:cs="Times New Roman"/>
          <w:sz w:val="24"/>
          <w:szCs w:val="24"/>
        </w:rPr>
        <w:t>.000.000,00 HRK</w:t>
      </w:r>
      <w:r w:rsidR="000F6423">
        <w:rPr>
          <w:rFonts w:ascii="Times New Roman" w:hAnsi="Times New Roman" w:cs="Times New Roman"/>
          <w:sz w:val="24"/>
          <w:szCs w:val="24"/>
        </w:rPr>
        <w:t xml:space="preserve"> </w:t>
      </w:r>
      <w:r w:rsidRPr="0089172D">
        <w:rPr>
          <w:rFonts w:ascii="Times New Roman" w:hAnsi="Times New Roman" w:cs="Times New Roman"/>
          <w:sz w:val="24"/>
          <w:szCs w:val="24"/>
        </w:rPr>
        <w:t xml:space="preserve">i </w:t>
      </w:r>
      <w:r w:rsidRPr="00693C18">
        <w:rPr>
          <w:rFonts w:ascii="Times New Roman" w:hAnsi="Times New Roman" w:cs="Times New Roman"/>
          <w:sz w:val="24"/>
          <w:szCs w:val="24"/>
        </w:rPr>
        <w:t>HRK</w:t>
      </w:r>
      <w:r w:rsidRPr="00EC54C6">
        <w:rPr>
          <w:rFonts w:ascii="Times New Roman" w:hAnsi="Times New Roman" w:cs="Times New Roman"/>
          <w:sz w:val="24"/>
          <w:szCs w:val="24"/>
        </w:rPr>
        <w:t>,</w:t>
      </w:r>
      <w:r w:rsidRPr="0089172D">
        <w:rPr>
          <w:rFonts w:ascii="Times New Roman" w:hAnsi="Times New Roman" w:cs="Times New Roman"/>
          <w:sz w:val="24"/>
          <w:szCs w:val="24"/>
        </w:rPr>
        <w:t xml:space="preserve"> s time da za pojedine instrumente prema Privremenom Okviru – COVID 19 iznosi:</w:t>
      </w:r>
    </w:p>
    <w:p w14:paraId="7F5D8109" w14:textId="77777777" w:rsidR="001D3C02" w:rsidRPr="0089172D" w:rsidRDefault="001D3C02" w:rsidP="001D3C02">
      <w:pPr>
        <w:spacing w:after="240" w:line="360" w:lineRule="auto"/>
        <w:ind w:left="709" w:hanging="425"/>
        <w:rPr>
          <w:rFonts w:ascii="Times New Roman" w:hAnsi="Times New Roman" w:cs="Times New Roman"/>
          <w:sz w:val="24"/>
          <w:szCs w:val="24"/>
        </w:rPr>
      </w:pPr>
      <w:r w:rsidRPr="0089172D">
        <w:rPr>
          <w:rFonts w:ascii="Times New Roman" w:hAnsi="Times New Roman" w:cs="Times New Roman"/>
          <w:sz w:val="24"/>
          <w:szCs w:val="24"/>
        </w:rPr>
        <w:t>1)</w:t>
      </w:r>
      <w:r>
        <w:rPr>
          <w:rFonts w:ascii="Times New Roman" w:hAnsi="Times New Roman" w:cs="Times New Roman"/>
          <w:sz w:val="24"/>
          <w:szCs w:val="24"/>
        </w:rPr>
        <w:tab/>
      </w:r>
      <w:r w:rsidRPr="0089172D">
        <w:rPr>
          <w:rFonts w:ascii="Times New Roman" w:hAnsi="Times New Roman" w:cs="Times New Roman"/>
          <w:sz w:val="24"/>
          <w:szCs w:val="24"/>
        </w:rPr>
        <w:t>za dodjelu potpora u obliku jamstava za nove zajmove iz odjeljka „3.1. Ograničeni iznosi potpore“:</w:t>
      </w:r>
      <w:r w:rsidRPr="00693C18">
        <w:rPr>
          <w:rFonts w:ascii="Times New Roman" w:hAnsi="Times New Roman" w:cs="Times New Roman"/>
          <w:sz w:val="24"/>
          <w:szCs w:val="24"/>
        </w:rPr>
        <w:t xml:space="preserve">300.000.000,00 HRK, </w:t>
      </w:r>
    </w:p>
    <w:p w14:paraId="412C3952" w14:textId="7AA9BB40" w:rsidR="001D3C02" w:rsidRDefault="001D3C02" w:rsidP="001D3C02">
      <w:pPr>
        <w:spacing w:after="240" w:line="360" w:lineRule="auto"/>
        <w:ind w:left="709" w:hanging="425"/>
        <w:rPr>
          <w:rFonts w:ascii="Times New Roman" w:hAnsi="Times New Roman" w:cs="Times New Roman"/>
          <w:sz w:val="24"/>
          <w:szCs w:val="24"/>
        </w:rPr>
      </w:pPr>
      <w:r w:rsidRPr="0089172D">
        <w:rPr>
          <w:rFonts w:ascii="Times New Roman" w:hAnsi="Times New Roman" w:cs="Times New Roman"/>
          <w:sz w:val="24"/>
          <w:szCs w:val="24"/>
        </w:rPr>
        <w:t>2)</w:t>
      </w:r>
      <w:r>
        <w:rPr>
          <w:rFonts w:ascii="Times New Roman" w:hAnsi="Times New Roman" w:cs="Times New Roman"/>
          <w:sz w:val="24"/>
          <w:szCs w:val="24"/>
        </w:rPr>
        <w:tab/>
      </w:r>
      <w:r w:rsidRPr="0089172D">
        <w:rPr>
          <w:rFonts w:ascii="Times New Roman" w:hAnsi="Times New Roman" w:cs="Times New Roman"/>
          <w:sz w:val="24"/>
          <w:szCs w:val="24"/>
        </w:rPr>
        <w:t xml:space="preserve">za dodjelu potpora u obliku jamstava za nove zajmove iz odjeljka „3.2. Potpora u obliku jamstava za zajmove“: </w:t>
      </w:r>
      <w:r w:rsidRPr="00693C18">
        <w:rPr>
          <w:rFonts w:ascii="Times New Roman" w:hAnsi="Times New Roman" w:cs="Times New Roman"/>
          <w:sz w:val="24"/>
          <w:szCs w:val="24"/>
        </w:rPr>
        <w:t>700.000.000,00 HRK</w:t>
      </w:r>
      <w:r w:rsidR="00A41FA6">
        <w:rPr>
          <w:rFonts w:ascii="Times New Roman" w:hAnsi="Times New Roman" w:cs="Times New Roman"/>
          <w:sz w:val="24"/>
          <w:szCs w:val="24"/>
        </w:rPr>
        <w:t>,</w:t>
      </w:r>
    </w:p>
    <w:p w14:paraId="23EE2590" w14:textId="77777777" w:rsidR="001D3C02" w:rsidRPr="0089172D" w:rsidRDefault="001D3C02" w:rsidP="001D3C02">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VI</w:t>
      </w:r>
      <w:r>
        <w:rPr>
          <w:rFonts w:ascii="Times New Roman" w:hAnsi="Times New Roman"/>
          <w:b/>
          <w:sz w:val="24"/>
          <w:szCs w:val="24"/>
          <w:lang w:val="hr-HR"/>
        </w:rPr>
        <w:t>I</w:t>
      </w:r>
      <w:r w:rsidRPr="0089172D">
        <w:rPr>
          <w:rFonts w:ascii="Times New Roman" w:hAnsi="Times New Roman"/>
          <w:b/>
          <w:sz w:val="24"/>
          <w:szCs w:val="24"/>
          <w:lang w:val="hr-HR"/>
        </w:rPr>
        <w:t>.</w:t>
      </w:r>
    </w:p>
    <w:p w14:paraId="0223BEB6" w14:textId="77777777" w:rsidR="001D3C02" w:rsidRPr="0089172D" w:rsidRDefault="001D3C02" w:rsidP="001D3C02">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Definicije</w:t>
      </w:r>
    </w:p>
    <w:p w14:paraId="305804D7" w14:textId="77777777" w:rsidR="001D3C02" w:rsidRPr="0089172D" w:rsidRDefault="001D3C02" w:rsidP="001D3C02">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Za potrebe ovog Programa primjenjuju se sljedeće definicije:</w:t>
      </w:r>
    </w:p>
    <w:p w14:paraId="3BBE72D7"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89172D">
        <w:rPr>
          <w:rFonts w:ascii="Times New Roman" w:hAnsi="Times New Roman"/>
          <w:b/>
          <w:sz w:val="24"/>
          <w:szCs w:val="24"/>
          <w:lang w:val="hr-HR"/>
        </w:rPr>
        <w:t xml:space="preserve">„potpora“ - </w:t>
      </w:r>
      <w:r w:rsidRPr="0089172D">
        <w:rPr>
          <w:rFonts w:ascii="Times New Roman" w:hAnsi="Times New Roman"/>
          <w:sz w:val="24"/>
          <w:szCs w:val="24"/>
          <w:lang w:val="hr-HR"/>
        </w:rPr>
        <w:t>svaka mjera koja ispunjava sve kriterije utvrđene u članku 107. stavku 1. Ugovora;</w:t>
      </w:r>
    </w:p>
    <w:p w14:paraId="3C2C600F"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AA7937">
        <w:rPr>
          <w:rFonts w:ascii="Times New Roman" w:hAnsi="Times New Roman"/>
          <w:b/>
          <w:sz w:val="24"/>
          <w:szCs w:val="24"/>
          <w:lang w:val="hr-HR"/>
        </w:rPr>
        <w:t xml:space="preserve">„pojedinačna potpora“ </w:t>
      </w:r>
      <w:r w:rsidRPr="00AA7937">
        <w:rPr>
          <w:rFonts w:ascii="Times New Roman" w:hAnsi="Times New Roman"/>
          <w:sz w:val="24"/>
          <w:szCs w:val="24"/>
          <w:lang w:val="hr-HR"/>
        </w:rPr>
        <w:t>znači:</w:t>
      </w:r>
    </w:p>
    <w:p w14:paraId="0D6E020F" w14:textId="77777777" w:rsidR="001D3C02" w:rsidRPr="0089172D" w:rsidRDefault="001D3C02" w:rsidP="001D3C02">
      <w:pPr>
        <w:pStyle w:val="ListParagraph2"/>
        <w:spacing w:after="240" w:line="360" w:lineRule="auto"/>
        <w:ind w:left="709" w:hanging="425"/>
        <w:jc w:val="both"/>
        <w:rPr>
          <w:rFonts w:ascii="Times New Roman" w:hAnsi="Times New Roman"/>
          <w:sz w:val="24"/>
          <w:szCs w:val="24"/>
          <w:lang w:val="hr-HR"/>
        </w:rPr>
      </w:pPr>
      <w:r w:rsidRPr="0089172D">
        <w:rPr>
          <w:rFonts w:ascii="Times New Roman" w:hAnsi="Times New Roman"/>
          <w:sz w:val="24"/>
          <w:szCs w:val="24"/>
          <w:lang w:val="hr-HR"/>
        </w:rPr>
        <w:t>i.</w:t>
      </w:r>
      <w:r>
        <w:rPr>
          <w:rFonts w:ascii="Times New Roman" w:hAnsi="Times New Roman"/>
          <w:sz w:val="24"/>
          <w:szCs w:val="24"/>
          <w:lang w:val="hr-HR"/>
        </w:rPr>
        <w:tab/>
      </w:r>
      <w:r w:rsidRPr="0089172D">
        <w:rPr>
          <w:rFonts w:ascii="Times New Roman" w:hAnsi="Times New Roman"/>
          <w:sz w:val="24"/>
          <w:szCs w:val="24"/>
          <w:lang w:val="hr-HR"/>
        </w:rPr>
        <w:t>jednokratna potpora i</w:t>
      </w:r>
    </w:p>
    <w:p w14:paraId="5051AE6C" w14:textId="77777777" w:rsidR="001D3C02"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Pr>
          <w:rFonts w:ascii="Times New Roman" w:hAnsi="Times New Roman"/>
          <w:sz w:val="24"/>
          <w:szCs w:val="24"/>
          <w:lang w:val="hr-HR"/>
        </w:rPr>
        <w:tab/>
      </w:r>
      <w:r w:rsidRPr="0089172D">
        <w:rPr>
          <w:rFonts w:ascii="Times New Roman" w:hAnsi="Times New Roman"/>
          <w:sz w:val="24"/>
          <w:szCs w:val="24"/>
          <w:lang w:val="hr-HR"/>
        </w:rPr>
        <w:t>potpora dodijeljena pojedinačnim korisnicima na temelju programa potpore;</w:t>
      </w:r>
    </w:p>
    <w:p w14:paraId="75F391C4"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89172D">
        <w:rPr>
          <w:rFonts w:ascii="Times New Roman" w:hAnsi="Times New Roman"/>
          <w:b/>
          <w:sz w:val="24"/>
          <w:szCs w:val="24"/>
          <w:lang w:val="hr-HR"/>
        </w:rPr>
        <w:t>„program potpora“</w:t>
      </w:r>
      <w:r w:rsidRPr="0089172D">
        <w:rPr>
          <w:rFonts w:ascii="Times New Roman" w:hAnsi="Times New Roman"/>
          <w:sz w:val="24"/>
          <w:szCs w:val="24"/>
          <w:lang w:val="hr-HR"/>
        </w:rPr>
        <w:t xml:space="preserve"> – svaki akt na temelju kojeg se mogu, bez potrebe za daljnjim provedbenim mjerama, dodjeljivati pojedinačne potpore poduzetnicima koji su utvrđeni </w:t>
      </w:r>
      <w:r w:rsidRPr="0089172D">
        <w:rPr>
          <w:rFonts w:ascii="Times New Roman" w:hAnsi="Times New Roman"/>
          <w:sz w:val="24"/>
          <w:szCs w:val="24"/>
          <w:lang w:val="hr-HR"/>
        </w:rPr>
        <w:lastRenderedPageBreak/>
        <w:t>u aktu na općenit i apstraktan način te svaki akt na temelju kojeg se potpora koja nije povezana s određenim projektom može dodijeliti jednom poduzetniku ili više njih na neodređeno razdoblje i/ili u neodređenom iznosu;</w:t>
      </w:r>
    </w:p>
    <w:p w14:paraId="6046AA90" w14:textId="77777777" w:rsidR="00F00B10" w:rsidRPr="00CB0F58"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AA7937">
        <w:rPr>
          <w:rFonts w:ascii="Times New Roman" w:hAnsi="Times New Roman"/>
          <w:b/>
          <w:sz w:val="24"/>
          <w:szCs w:val="24"/>
          <w:lang w:val="hr-HR"/>
        </w:rPr>
        <w:t>„korisnik potpore“</w:t>
      </w:r>
      <w:r w:rsidRPr="00AA7937">
        <w:rPr>
          <w:rFonts w:ascii="Times New Roman" w:hAnsi="Times New Roman"/>
          <w:sz w:val="24"/>
          <w:szCs w:val="24"/>
          <w:lang w:val="hr-HR"/>
        </w:rPr>
        <w:t xml:space="preserve"> – pravna osoba koja, obavljajući gospodarsku djelatnost, sudjeluje u prometu roba i usluga, a prima državnu potporu na temelju ovog Programa </w:t>
      </w:r>
      <w:r w:rsidRPr="00AA7937">
        <w:rPr>
          <w:rFonts w:ascii="Times New Roman" w:eastAsia="Times New Roman" w:hAnsi="Times New Roman"/>
          <w:sz w:val="24"/>
          <w:szCs w:val="24"/>
          <w:lang w:val="hr-HR"/>
        </w:rPr>
        <w:t xml:space="preserve">bez obzira na njezin oblik i namjenu; </w:t>
      </w:r>
    </w:p>
    <w:p w14:paraId="120A528C" w14:textId="77777777" w:rsidR="00F00B10" w:rsidRDefault="00F00B10" w:rsidP="00CB0F58">
      <w:pPr>
        <w:pStyle w:val="ListParagraph"/>
        <w:rPr>
          <w:lang w:val="hr-HR"/>
        </w:rPr>
      </w:pPr>
    </w:p>
    <w:p w14:paraId="6DBA024F"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AA7937">
        <w:rPr>
          <w:rFonts w:ascii="Times New Roman" w:hAnsi="Times New Roman"/>
          <w:b/>
          <w:sz w:val="24"/>
          <w:szCs w:val="24"/>
          <w:lang w:val="hr-HR"/>
        </w:rPr>
        <w:t xml:space="preserve">„poduzetnik“ </w:t>
      </w:r>
      <w:r w:rsidRPr="00AA7937">
        <w:rPr>
          <w:rFonts w:ascii="Times New Roman" w:hAnsi="Times New Roman"/>
          <w:sz w:val="24"/>
          <w:szCs w:val="24"/>
          <w:lang w:val="hr-HR"/>
        </w:rPr>
        <w:t xml:space="preserve">– svaki subjekt koji provodi aktivnosti ekonomske naravi, bez obzira na njegov pravni status, odnosno je li osnovan u skladu s javnim ili privatnim pravom, na način financiranja te činjenicu stječe li profit ili ne; </w:t>
      </w:r>
    </w:p>
    <w:p w14:paraId="16C775FC"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AA7937">
        <w:rPr>
          <w:rFonts w:ascii="Times New Roman" w:hAnsi="Times New Roman"/>
          <w:b/>
          <w:sz w:val="24"/>
          <w:szCs w:val="24"/>
          <w:lang w:val="hr-HR"/>
        </w:rPr>
        <w:t>„intenzitet potpore“</w:t>
      </w:r>
      <w:r w:rsidRPr="00AA7937">
        <w:rPr>
          <w:rFonts w:ascii="Times New Roman" w:hAnsi="Times New Roman"/>
          <w:sz w:val="24"/>
          <w:szCs w:val="24"/>
          <w:lang w:val="hr-HR"/>
        </w:rPr>
        <w:t>– bruto iznos potpore izražen kao postotak prihvatljivih troškova, prije odbitka poreza ili drugih naknada;</w:t>
      </w:r>
    </w:p>
    <w:p w14:paraId="7D060309" w14:textId="77777777" w:rsidR="00F00B10" w:rsidRDefault="00F00B10" w:rsidP="00CB0F58">
      <w:pPr>
        <w:pStyle w:val="ListParagraph"/>
        <w:rPr>
          <w:lang w:val="hr-HR"/>
        </w:rPr>
      </w:pPr>
    </w:p>
    <w:p w14:paraId="64898596"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AA7937">
        <w:rPr>
          <w:rFonts w:ascii="Times New Roman" w:hAnsi="Times New Roman"/>
          <w:b/>
          <w:sz w:val="24"/>
          <w:szCs w:val="24"/>
          <w:lang w:val="hr-HR"/>
        </w:rPr>
        <w:t>„bruto ekvivalent potpore“</w:t>
      </w:r>
      <w:r w:rsidRPr="00AA7937">
        <w:rPr>
          <w:rFonts w:ascii="Times New Roman" w:hAnsi="Times New Roman"/>
          <w:sz w:val="24"/>
          <w:szCs w:val="24"/>
          <w:lang w:val="hr-HR"/>
        </w:rPr>
        <w:t>– iznos potpore ako je korisniku dodijeljena u obliku bespovratnog sredstva, prije odbitka poreza ili drugih naknada;</w:t>
      </w:r>
    </w:p>
    <w:p w14:paraId="69604ABA"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AA7937">
        <w:rPr>
          <w:rFonts w:ascii="Times New Roman" w:hAnsi="Times New Roman"/>
          <w:b/>
          <w:sz w:val="24"/>
          <w:szCs w:val="24"/>
          <w:lang w:val="hr-HR"/>
        </w:rPr>
        <w:t xml:space="preserve">„mikro, malo i srednje poduzeće (u daljnjem tekstu: MSP)“ </w:t>
      </w:r>
      <w:r w:rsidRPr="00AA7937">
        <w:rPr>
          <w:rFonts w:ascii="Times New Roman" w:hAnsi="Times New Roman"/>
          <w:sz w:val="24"/>
          <w:szCs w:val="24"/>
          <w:lang w:val="hr-HR"/>
        </w:rPr>
        <w:t>su subjekti definirani Prilogom 1. Uredbe Komisije br. 651/2014;</w:t>
      </w:r>
    </w:p>
    <w:p w14:paraId="2E1FB603" w14:textId="77777777" w:rsidR="00F00B10" w:rsidRDefault="00F00B10" w:rsidP="00CB0F58">
      <w:pPr>
        <w:pStyle w:val="ListParagraph"/>
        <w:rPr>
          <w:lang w:val="hr-HR"/>
        </w:rPr>
      </w:pPr>
    </w:p>
    <w:p w14:paraId="4E5DEE80"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AA7937">
        <w:rPr>
          <w:rFonts w:ascii="Times New Roman" w:hAnsi="Times New Roman"/>
          <w:b/>
          <w:sz w:val="24"/>
          <w:szCs w:val="24"/>
          <w:lang w:val="hr-HR"/>
        </w:rPr>
        <w:t xml:space="preserve">„veliko poduzeće“ </w:t>
      </w:r>
      <w:r w:rsidRPr="00AA7937">
        <w:rPr>
          <w:rFonts w:ascii="Times New Roman" w:hAnsi="Times New Roman"/>
          <w:sz w:val="24"/>
          <w:szCs w:val="24"/>
          <w:lang w:val="hr-HR"/>
        </w:rPr>
        <w:t>– poduzeće koje ne ispunjava kriterije utvrđene u Prilogu 1. Uredbe Komisije br. 651/2014;</w:t>
      </w:r>
    </w:p>
    <w:p w14:paraId="2A54166A" w14:textId="77777777" w:rsidR="00F00B10" w:rsidRDefault="001D3C02" w:rsidP="00CB0F58">
      <w:pPr>
        <w:pStyle w:val="ListParagraph2"/>
        <w:numPr>
          <w:ilvl w:val="0"/>
          <w:numId w:val="2"/>
        </w:numPr>
        <w:spacing w:after="240" w:line="360" w:lineRule="auto"/>
        <w:contextualSpacing w:val="0"/>
        <w:jc w:val="both"/>
        <w:rPr>
          <w:rFonts w:ascii="Times New Roman" w:hAnsi="Times New Roman"/>
          <w:sz w:val="24"/>
          <w:szCs w:val="24"/>
          <w:lang w:val="hr-HR"/>
        </w:rPr>
      </w:pPr>
      <w:r w:rsidRPr="00AA7937">
        <w:rPr>
          <w:rFonts w:ascii="Times New Roman" w:hAnsi="Times New Roman"/>
          <w:b/>
          <w:sz w:val="24"/>
          <w:szCs w:val="24"/>
          <w:lang w:val="hr-HR"/>
        </w:rPr>
        <w:t>„poduzetnik u teškoćama“</w:t>
      </w:r>
      <w:r w:rsidRPr="00AA7937">
        <w:rPr>
          <w:rFonts w:ascii="Times New Roman" w:hAnsi="Times New Roman"/>
          <w:sz w:val="24"/>
          <w:szCs w:val="24"/>
          <w:lang w:val="hr-HR"/>
        </w:rPr>
        <w:t xml:space="preserve"> – poduzetnik za kojeg vrijedi najmanje jedna od sljedećih okolnosti:</w:t>
      </w:r>
    </w:p>
    <w:p w14:paraId="76ECB8FF" w14:textId="77777777" w:rsidR="001D3C02" w:rsidRDefault="001D3C02" w:rsidP="001D3C02">
      <w:pPr>
        <w:pStyle w:val="ListParagraph2"/>
        <w:numPr>
          <w:ilvl w:val="0"/>
          <w:numId w:val="1"/>
        </w:numPr>
        <w:spacing w:after="240" w:line="360" w:lineRule="auto"/>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w:t>
      </w:r>
      <w:r w:rsidRPr="0089172D">
        <w:rPr>
          <w:rFonts w:ascii="Times New Roman" w:hAnsi="Times New Roman"/>
          <w:sz w:val="24"/>
          <w:szCs w:val="24"/>
          <w:lang w:val="hr-HR"/>
        </w:rPr>
        <w:lastRenderedPageBreak/>
        <w:t>ove odredbe „društvo s ograničenom odgovornosti” odnosi se posebno na dvije vrste društava navedene u Prilogu I. Direktive 2013/34/EU Europskog Parlamenta i Vijeća od 26. lipnja 2013.(SL EU, L 182/19)</w:t>
      </w:r>
      <w:r w:rsidRPr="0089172D">
        <w:rPr>
          <w:rStyle w:val="FootnoteReference"/>
          <w:rFonts w:ascii="Times New Roman" w:hAnsi="Times New Roman"/>
          <w:sz w:val="24"/>
          <w:szCs w:val="24"/>
        </w:rPr>
        <w:footnoteReference w:id="10"/>
      </w:r>
      <w:r w:rsidRPr="0089172D">
        <w:rPr>
          <w:rFonts w:ascii="Times New Roman" w:hAnsi="Times New Roman"/>
          <w:sz w:val="24"/>
          <w:szCs w:val="24"/>
          <w:lang w:val="hr-HR"/>
        </w:rPr>
        <w:t xml:space="preserve"> a „vlasnički kapital” obuhvaća, prema potrebi, sve premije na emitirane dionice;</w:t>
      </w:r>
    </w:p>
    <w:p w14:paraId="225FC3C4" w14:textId="77777777" w:rsidR="001D3C02" w:rsidRPr="0089172D"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b)</w:t>
      </w:r>
      <w:r>
        <w:rPr>
          <w:rFonts w:ascii="Times New Roman" w:hAnsi="Times New Roman"/>
          <w:sz w:val="24"/>
          <w:szCs w:val="24"/>
          <w:lang w:val="hr-HR"/>
        </w:rPr>
        <w:tab/>
      </w:r>
      <w:r w:rsidRPr="0089172D">
        <w:rPr>
          <w:rFonts w:ascii="Times New Roman" w:hAnsi="Times New Roman"/>
          <w:sz w:val="24"/>
          <w:szCs w:val="24"/>
          <w:lang w:val="hr-HR"/>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2013/34/EU Europskog Parlamenta i Vijeća od 26. lipnja 2013. (SL EU, L 182/19);</w:t>
      </w:r>
    </w:p>
    <w:p w14:paraId="4EE5FBA9" w14:textId="77777777" w:rsidR="001D3C02" w:rsidRPr="0089172D"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c)</w:t>
      </w:r>
      <w:r>
        <w:rPr>
          <w:rFonts w:ascii="Times New Roman" w:hAnsi="Times New Roman"/>
          <w:sz w:val="24"/>
          <w:szCs w:val="24"/>
          <w:lang w:val="hr-HR"/>
        </w:rPr>
        <w:tab/>
      </w:r>
      <w:r w:rsidRPr="0089172D">
        <w:rPr>
          <w:rFonts w:ascii="Times New Roman" w:hAnsi="Times New Roman"/>
          <w:sz w:val="24"/>
          <w:szCs w:val="24"/>
          <w:lang w:val="hr-HR"/>
        </w:rPr>
        <w:t>ako se nad poduzetnikom provodi cjelokupni stečajni postupak ili on ispunjava kriterije u skladu s nacionalnim pravom da se nad njim provede cjelokupni stečajni postupak na zahtjev vjerovnika;</w:t>
      </w:r>
    </w:p>
    <w:p w14:paraId="67F46AD8" w14:textId="77777777" w:rsidR="001D3C02" w:rsidRPr="0089172D"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d)</w:t>
      </w:r>
      <w:r>
        <w:rPr>
          <w:rFonts w:ascii="Times New Roman" w:hAnsi="Times New Roman"/>
          <w:sz w:val="24"/>
          <w:szCs w:val="24"/>
          <w:lang w:val="hr-HR"/>
        </w:rPr>
        <w:tab/>
      </w:r>
      <w:r w:rsidRPr="0089172D">
        <w:rPr>
          <w:rFonts w:ascii="Times New Roman" w:hAnsi="Times New Roman"/>
          <w:sz w:val="24"/>
          <w:szCs w:val="24"/>
          <w:lang w:val="hr-HR"/>
        </w:rPr>
        <w:t>ako je poduzetnik primio potporu za sanaciju, a još nije nadoknadio zajam ili okončao jamstvo, ili je primio potporu za restrukturiranje, a još je podložan planu restrukturiranja;</w:t>
      </w:r>
    </w:p>
    <w:p w14:paraId="26B3C241" w14:textId="77777777" w:rsidR="001D3C02" w:rsidRPr="0089172D"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e)</w:t>
      </w:r>
      <w:r>
        <w:rPr>
          <w:rFonts w:ascii="Times New Roman" w:hAnsi="Times New Roman"/>
          <w:sz w:val="24"/>
          <w:szCs w:val="24"/>
          <w:lang w:val="hr-HR"/>
        </w:rPr>
        <w:tab/>
      </w:r>
      <w:r w:rsidRPr="0089172D">
        <w:rPr>
          <w:rFonts w:ascii="Times New Roman" w:hAnsi="Times New Roman"/>
          <w:sz w:val="24"/>
          <w:szCs w:val="24"/>
          <w:lang w:val="hr-HR"/>
        </w:rPr>
        <w:t>u slučaju poduzetnika koji nije MSP, ako je tijekom zadnje dvije godine:</w:t>
      </w:r>
    </w:p>
    <w:p w14:paraId="592FECA9" w14:textId="77777777" w:rsidR="001D3C02" w:rsidRPr="0089172D" w:rsidRDefault="001D3C02" w:rsidP="001D3C02">
      <w:pPr>
        <w:pStyle w:val="ListParagraph2"/>
        <w:tabs>
          <w:tab w:val="left" w:pos="2127"/>
        </w:tabs>
        <w:spacing w:after="240" w:line="360" w:lineRule="auto"/>
        <w:ind w:left="1134" w:hanging="425"/>
        <w:jc w:val="both"/>
        <w:rPr>
          <w:rFonts w:ascii="Times New Roman" w:hAnsi="Times New Roman"/>
          <w:sz w:val="24"/>
          <w:szCs w:val="24"/>
          <w:lang w:val="hr-HR"/>
        </w:rPr>
      </w:pPr>
      <w:r w:rsidRPr="0089172D">
        <w:rPr>
          <w:rFonts w:ascii="Times New Roman" w:hAnsi="Times New Roman"/>
          <w:sz w:val="24"/>
          <w:szCs w:val="24"/>
          <w:lang w:val="hr-HR"/>
        </w:rPr>
        <w:t>i.</w:t>
      </w:r>
      <w:r>
        <w:rPr>
          <w:rFonts w:ascii="Times New Roman" w:hAnsi="Times New Roman"/>
          <w:sz w:val="24"/>
          <w:szCs w:val="24"/>
          <w:lang w:val="hr-HR"/>
        </w:rPr>
        <w:tab/>
      </w:r>
      <w:r w:rsidRPr="0089172D">
        <w:rPr>
          <w:rFonts w:ascii="Times New Roman" w:hAnsi="Times New Roman"/>
          <w:sz w:val="24"/>
          <w:szCs w:val="24"/>
          <w:lang w:val="hr-HR"/>
        </w:rPr>
        <w:t>omjer knjigovodstvenog duga i kapitala poduzetnika bio veći od 7,5 i</w:t>
      </w:r>
    </w:p>
    <w:p w14:paraId="1E970050" w14:textId="77777777" w:rsidR="001D3C02" w:rsidRDefault="001D3C02" w:rsidP="001D3C02">
      <w:pPr>
        <w:pStyle w:val="ListParagraph2"/>
        <w:tabs>
          <w:tab w:val="left" w:pos="2127"/>
        </w:tabs>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Pr>
          <w:rFonts w:ascii="Times New Roman" w:hAnsi="Times New Roman"/>
          <w:sz w:val="24"/>
          <w:szCs w:val="24"/>
          <w:lang w:val="hr-HR"/>
        </w:rPr>
        <w:tab/>
      </w:r>
      <w:r w:rsidRPr="0089172D">
        <w:rPr>
          <w:rFonts w:ascii="Times New Roman" w:hAnsi="Times New Roman"/>
          <w:sz w:val="24"/>
          <w:szCs w:val="24"/>
          <w:lang w:val="hr-HR"/>
        </w:rPr>
        <w:t>EBITDA koeficijent pokrića kamata poduzetnika bio je niži od 1,0.</w:t>
      </w:r>
    </w:p>
    <w:p w14:paraId="20FE5F4F" w14:textId="77777777" w:rsidR="00F00B10" w:rsidRDefault="001D3C02" w:rsidP="00CB0F58">
      <w:pPr>
        <w:pStyle w:val="ListParagraph2"/>
        <w:numPr>
          <w:ilvl w:val="0"/>
          <w:numId w:val="2"/>
        </w:numPr>
        <w:tabs>
          <w:tab w:val="left" w:pos="2127"/>
        </w:tabs>
        <w:spacing w:after="240" w:line="360" w:lineRule="auto"/>
        <w:contextualSpacing w:val="0"/>
        <w:jc w:val="both"/>
        <w:rPr>
          <w:rFonts w:ascii="Times New Roman" w:hAnsi="Times New Roman"/>
          <w:sz w:val="24"/>
          <w:szCs w:val="24"/>
          <w:lang w:val="hr-HR"/>
        </w:rPr>
      </w:pPr>
      <w:r w:rsidRPr="0089172D">
        <w:rPr>
          <w:rFonts w:ascii="Times New Roman" w:hAnsi="Times New Roman"/>
          <w:b/>
          <w:sz w:val="24"/>
          <w:szCs w:val="24"/>
          <w:lang w:val="hr-HR"/>
        </w:rPr>
        <w:t>„primarna poljoprivredna proizvodnja“</w:t>
      </w:r>
      <w:bookmarkStart w:id="0" w:name="_Hlk514158384"/>
      <w:r w:rsidRPr="0089172D">
        <w:rPr>
          <w:rFonts w:ascii="Times New Roman" w:hAnsi="Times New Roman"/>
          <w:sz w:val="24"/>
          <w:szCs w:val="24"/>
          <w:lang w:val="hr-HR"/>
        </w:rPr>
        <w:t>–</w:t>
      </w:r>
      <w:bookmarkEnd w:id="0"/>
      <w:r w:rsidRPr="0089172D">
        <w:rPr>
          <w:rFonts w:ascii="Times New Roman" w:hAnsi="Times New Roman"/>
          <w:sz w:val="24"/>
          <w:szCs w:val="24"/>
          <w:lang w:val="hr-HR"/>
        </w:rPr>
        <w:t xml:space="preserve"> proizvodnja proizvoda iz tla ili stočarstva navedenih u Prilogu I. Ugovora, uz iznimku proizvoda iz sektora ribarstva i akvakulture;</w:t>
      </w:r>
    </w:p>
    <w:p w14:paraId="3062FA56" w14:textId="572B3098" w:rsidR="00F00B10" w:rsidRDefault="00AA7937" w:rsidP="00CB0F58">
      <w:pPr>
        <w:pStyle w:val="ListParagraph2"/>
        <w:numPr>
          <w:ilvl w:val="0"/>
          <w:numId w:val="2"/>
        </w:numPr>
        <w:tabs>
          <w:tab w:val="left" w:pos="2127"/>
        </w:tabs>
        <w:spacing w:after="240" w:line="360" w:lineRule="auto"/>
        <w:contextualSpacing w:val="0"/>
        <w:jc w:val="both"/>
        <w:rPr>
          <w:rFonts w:ascii="Times New Roman" w:hAnsi="Times New Roman"/>
          <w:sz w:val="24"/>
          <w:szCs w:val="24"/>
          <w:lang w:val="hr-HR"/>
        </w:rPr>
      </w:pPr>
      <w:r>
        <w:rPr>
          <w:rFonts w:ascii="Times New Roman" w:hAnsi="Times New Roman"/>
          <w:b/>
          <w:sz w:val="24"/>
          <w:szCs w:val="24"/>
          <w:lang w:val="hr-HR"/>
        </w:rPr>
        <w:t xml:space="preserve"> </w:t>
      </w:r>
      <w:r w:rsidR="001D3C02" w:rsidRPr="00AA7937">
        <w:rPr>
          <w:rFonts w:ascii="Times New Roman" w:hAnsi="Times New Roman"/>
          <w:b/>
          <w:sz w:val="24"/>
          <w:szCs w:val="24"/>
          <w:lang w:val="hr-HR"/>
        </w:rPr>
        <w:t>„sektor ribarstva i akvakulture“</w:t>
      </w:r>
      <w:r w:rsidR="001D3C02" w:rsidRPr="00AA7937">
        <w:rPr>
          <w:rFonts w:ascii="Times New Roman" w:hAnsi="Times New Roman"/>
          <w:sz w:val="24"/>
          <w:szCs w:val="24"/>
          <w:lang w:val="hr-HR"/>
        </w:rPr>
        <w:t xml:space="preserve"> – kako je definirano u Prilogu I. Uredbi br. 1379/2013 Europskog parlamenta i Vijeća od 11. prosinca 2013. o zajedničkom </w:t>
      </w:r>
      <w:r w:rsidR="001D3C02" w:rsidRPr="00AA7937">
        <w:rPr>
          <w:rFonts w:ascii="Times New Roman" w:hAnsi="Times New Roman"/>
          <w:sz w:val="24"/>
          <w:szCs w:val="24"/>
          <w:lang w:val="hr-HR"/>
        </w:rPr>
        <w:lastRenderedPageBreak/>
        <w:t>uređenju tržišta proizvodima ribarstva i akvakulture, izmjeni Uredbe Vijeća (EZ) br. 1184/2006 i br. 1224/2009 i stavljanju izvan snage Uredbe Vijeća (EZ) br. 104/2000, SL L 354, 28.12. 2013., str. 1.</w:t>
      </w:r>
    </w:p>
    <w:p w14:paraId="602A70BC" w14:textId="77777777" w:rsidR="00F00B10" w:rsidRDefault="00F00B10" w:rsidP="00CB0F58">
      <w:pPr>
        <w:pStyle w:val="ListParagraph"/>
        <w:rPr>
          <w:lang w:val="hr-HR"/>
        </w:rPr>
      </w:pPr>
    </w:p>
    <w:p w14:paraId="7726DFA4" w14:textId="0B8B0F17" w:rsidR="00F00B10" w:rsidRDefault="00AA7937" w:rsidP="00CB0F58">
      <w:pPr>
        <w:pStyle w:val="ListParagraph2"/>
        <w:numPr>
          <w:ilvl w:val="0"/>
          <w:numId w:val="2"/>
        </w:numPr>
        <w:tabs>
          <w:tab w:val="left" w:pos="2127"/>
        </w:tabs>
        <w:spacing w:after="240" w:line="360" w:lineRule="auto"/>
        <w:contextualSpacing w:val="0"/>
        <w:jc w:val="both"/>
        <w:rPr>
          <w:rFonts w:ascii="Times New Roman" w:hAnsi="Times New Roman"/>
          <w:sz w:val="24"/>
          <w:szCs w:val="24"/>
          <w:lang w:val="hr-HR"/>
        </w:rPr>
      </w:pPr>
      <w:r>
        <w:rPr>
          <w:rFonts w:ascii="Times New Roman" w:hAnsi="Times New Roman"/>
          <w:b/>
          <w:sz w:val="24"/>
          <w:szCs w:val="24"/>
          <w:lang w:val="hr-HR"/>
        </w:rPr>
        <w:t xml:space="preserve"> </w:t>
      </w:r>
      <w:r w:rsidR="001D3C02" w:rsidRPr="00AA7937">
        <w:rPr>
          <w:rFonts w:ascii="Times New Roman" w:hAnsi="Times New Roman"/>
          <w:b/>
          <w:sz w:val="24"/>
          <w:szCs w:val="24"/>
          <w:lang w:val="hr-HR"/>
        </w:rPr>
        <w:t>„dan dodjele potpore“</w:t>
      </w:r>
      <w:r w:rsidR="001D3C02" w:rsidRPr="00AA7937">
        <w:rPr>
          <w:rFonts w:ascii="Times New Roman" w:hAnsi="Times New Roman"/>
          <w:sz w:val="24"/>
          <w:szCs w:val="24"/>
          <w:lang w:val="hr-HR"/>
        </w:rPr>
        <w:t>– datum na koji je na temelju primjenjivog nacionalnog pravnog režima korisniku dodijeljeno zakonsko pravo na primanje potpore.</w:t>
      </w:r>
    </w:p>
    <w:p w14:paraId="295E8CE4" w14:textId="77777777" w:rsidR="001D3C02" w:rsidRDefault="001D3C02" w:rsidP="001D3C02">
      <w:pPr>
        <w:pStyle w:val="ListParagraph2"/>
        <w:spacing w:after="240" w:line="360" w:lineRule="auto"/>
        <w:ind w:left="567"/>
        <w:contextualSpacing w:val="0"/>
        <w:jc w:val="center"/>
        <w:rPr>
          <w:rFonts w:ascii="Times New Roman" w:hAnsi="Times New Roman"/>
          <w:b/>
          <w:sz w:val="24"/>
          <w:szCs w:val="24"/>
          <w:lang w:val="hr-HR"/>
        </w:rPr>
      </w:pPr>
    </w:p>
    <w:p w14:paraId="2B4FD97A" w14:textId="77777777" w:rsidR="001D3C02" w:rsidRPr="0089172D" w:rsidRDefault="001D3C02" w:rsidP="001D3C02">
      <w:pPr>
        <w:pStyle w:val="ListParagraph2"/>
        <w:spacing w:after="240" w:line="360" w:lineRule="auto"/>
        <w:ind w:left="567"/>
        <w:contextualSpacing w:val="0"/>
        <w:jc w:val="center"/>
        <w:rPr>
          <w:rFonts w:ascii="Times New Roman" w:hAnsi="Times New Roman"/>
          <w:b/>
          <w:sz w:val="24"/>
          <w:szCs w:val="24"/>
          <w:lang w:val="hr-HR"/>
        </w:rPr>
      </w:pPr>
      <w:r w:rsidRPr="0089172D">
        <w:rPr>
          <w:rFonts w:ascii="Times New Roman" w:hAnsi="Times New Roman"/>
          <w:b/>
          <w:sz w:val="24"/>
          <w:szCs w:val="24"/>
          <w:lang w:val="hr-HR"/>
        </w:rPr>
        <w:t>POGLAVLJE II.</w:t>
      </w:r>
    </w:p>
    <w:p w14:paraId="3156DE36" w14:textId="77777777" w:rsidR="001D3C02" w:rsidRPr="0089172D" w:rsidRDefault="001D3C02" w:rsidP="001D3C02">
      <w:pPr>
        <w:pStyle w:val="ListParagraph1"/>
        <w:spacing w:after="240" w:line="360" w:lineRule="auto"/>
        <w:ind w:left="360"/>
        <w:contextualSpacing w:val="0"/>
        <w:jc w:val="center"/>
        <w:rPr>
          <w:rStyle w:val="Bodytext285pt"/>
          <w:rFonts w:eastAsia="Calibri"/>
          <w:b/>
          <w:sz w:val="24"/>
          <w:szCs w:val="24"/>
          <w:lang w:val="hr-HR"/>
        </w:rPr>
      </w:pPr>
      <w:r w:rsidRPr="0089172D">
        <w:rPr>
          <w:rStyle w:val="Bodytext285pt"/>
          <w:rFonts w:eastAsia="Calibri"/>
          <w:b/>
          <w:sz w:val="24"/>
          <w:szCs w:val="24"/>
          <w:lang w:val="hr-HR"/>
        </w:rPr>
        <w:t>Pravila za primjenu mjere</w:t>
      </w:r>
    </w:p>
    <w:p w14:paraId="6C977CA1" w14:textId="77777777" w:rsidR="001D3C02" w:rsidRPr="0089172D" w:rsidRDefault="001D3C02" w:rsidP="001D3C02">
      <w:pPr>
        <w:pStyle w:val="ListParagraph1"/>
        <w:spacing w:after="240" w:line="360" w:lineRule="auto"/>
        <w:ind w:left="360"/>
        <w:contextualSpacing w:val="0"/>
        <w:jc w:val="center"/>
        <w:rPr>
          <w:rStyle w:val="Bodytext285pt"/>
          <w:rFonts w:eastAsia="Calibri"/>
          <w:b/>
          <w:sz w:val="24"/>
          <w:szCs w:val="24"/>
          <w:lang w:val="hr-HR"/>
        </w:rPr>
      </w:pPr>
      <w:r>
        <w:rPr>
          <w:rStyle w:val="Bodytext285pt"/>
          <w:rFonts w:eastAsia="Calibri"/>
          <w:b/>
          <w:sz w:val="24"/>
          <w:szCs w:val="24"/>
          <w:lang w:val="hr-HR"/>
        </w:rPr>
        <w:t>VII</w:t>
      </w:r>
      <w:r w:rsidRPr="0089172D">
        <w:rPr>
          <w:rStyle w:val="Bodytext285pt"/>
          <w:rFonts w:eastAsia="Calibri"/>
          <w:b/>
          <w:sz w:val="24"/>
          <w:szCs w:val="24"/>
          <w:lang w:val="hr-HR"/>
        </w:rPr>
        <w:t>I.</w:t>
      </w:r>
    </w:p>
    <w:p w14:paraId="0A95237A" w14:textId="77777777" w:rsidR="001D3C02" w:rsidRPr="0089172D" w:rsidRDefault="001D3C02" w:rsidP="001D3C02">
      <w:pPr>
        <w:pStyle w:val="ListParagraph1"/>
        <w:spacing w:after="240" w:line="360" w:lineRule="auto"/>
        <w:ind w:left="360"/>
        <w:contextualSpacing w:val="0"/>
        <w:jc w:val="center"/>
        <w:rPr>
          <w:rStyle w:val="Bodytext285pt"/>
          <w:rFonts w:eastAsia="Calibri"/>
          <w:b/>
          <w:sz w:val="24"/>
          <w:szCs w:val="24"/>
          <w:lang w:val="hr-HR"/>
        </w:rPr>
      </w:pPr>
      <w:r w:rsidRPr="0089172D">
        <w:rPr>
          <w:rFonts w:ascii="Times New Roman" w:hAnsi="Times New Roman"/>
          <w:b/>
          <w:sz w:val="24"/>
          <w:szCs w:val="24"/>
          <w:lang w:val="hr-HR"/>
        </w:rPr>
        <w:t>Jamstva za zajmove iz odjeljka „3.1. Ograničeni iznosi potpore“</w:t>
      </w:r>
    </w:p>
    <w:p w14:paraId="167EC3E2" w14:textId="77777777" w:rsidR="001D3C02" w:rsidRPr="0089172D" w:rsidRDefault="001D3C02" w:rsidP="001D3C02">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HBOR i HAMAG-BICRO će izdavati jamstva za nove zajmove za obrtna sredstva korisnicima iz točke III. ovog Programa, koje će odobravati poslovne banke, a u skladu s ovim Programom i odredbama iz odjeljka „3.1. Ograničeni iznosi potpore“ Privremenog okvira – COVID 19.</w:t>
      </w:r>
    </w:p>
    <w:p w14:paraId="182D704C" w14:textId="77777777" w:rsidR="001D3C02" w:rsidRPr="00824C7D" w:rsidRDefault="001D3C02" w:rsidP="001D3C02">
      <w:pPr>
        <w:pStyle w:val="ListParagraph1"/>
        <w:spacing w:after="240" w:line="360" w:lineRule="auto"/>
        <w:ind w:left="0"/>
        <w:contextualSpacing w:val="0"/>
        <w:jc w:val="both"/>
        <w:rPr>
          <w:rFonts w:ascii="Times New Roman" w:hAnsi="Times New Roman"/>
          <w:color w:val="FF0000"/>
          <w:sz w:val="24"/>
          <w:szCs w:val="24"/>
          <w:lang w:val="hr-HR"/>
        </w:rPr>
      </w:pPr>
      <w:r w:rsidRPr="0089172D">
        <w:rPr>
          <w:rFonts w:ascii="Times New Roman" w:hAnsi="Times New Roman"/>
          <w:sz w:val="24"/>
          <w:szCs w:val="24"/>
          <w:lang w:val="hr-HR"/>
        </w:rPr>
        <w:t>Povoljnija premija za jamstva za zajmove iz stavka 1. ove točke i</w:t>
      </w:r>
      <w:r w:rsidRPr="007934A0">
        <w:rPr>
          <w:rFonts w:ascii="Times New Roman" w:hAnsi="Times New Roman"/>
          <w:sz w:val="24"/>
          <w:szCs w:val="24"/>
          <w:lang w:val="hr-HR"/>
        </w:rPr>
        <w:t>znosit će 0,2%.</w:t>
      </w:r>
      <w:r w:rsidR="008F6EFF" w:rsidRPr="007934A0">
        <w:rPr>
          <w:rFonts w:ascii="Times New Roman" w:hAnsi="Times New Roman"/>
          <w:sz w:val="24"/>
          <w:szCs w:val="24"/>
          <w:lang w:val="hr-HR"/>
        </w:rPr>
        <w:t xml:space="preserve"> </w:t>
      </w:r>
      <w:r w:rsidR="00824C7D" w:rsidRPr="007934A0">
        <w:rPr>
          <w:rFonts w:ascii="Times New Roman" w:hAnsi="Times New Roman"/>
          <w:sz w:val="24"/>
          <w:szCs w:val="24"/>
          <w:lang w:val="hr-HR"/>
        </w:rPr>
        <w:t>Jamstvo će pokrivati 100</w:t>
      </w:r>
      <w:r w:rsidRPr="007934A0">
        <w:rPr>
          <w:rFonts w:ascii="Times New Roman" w:hAnsi="Times New Roman"/>
          <w:sz w:val="24"/>
          <w:szCs w:val="24"/>
          <w:lang w:val="hr-HR"/>
        </w:rPr>
        <w:t xml:space="preserve">% glavnice pojedinačnog zajma i izdavat će se na razdoblje koje ne može biti kraće od jedne ni duže od pet godina. </w:t>
      </w:r>
    </w:p>
    <w:p w14:paraId="2239DA1E" w14:textId="5997BAF7" w:rsidR="001D3C02" w:rsidRPr="0089172D" w:rsidRDefault="001D3C02" w:rsidP="001D3C02">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Iznos pojedinačnog jamstva koje će izdavati HBOR i HAMAG-BICRO ne </w:t>
      </w:r>
      <w:r w:rsidRPr="007934A0">
        <w:rPr>
          <w:rFonts w:ascii="Times New Roman" w:hAnsi="Times New Roman"/>
          <w:sz w:val="24"/>
          <w:szCs w:val="24"/>
          <w:lang w:val="hr-HR"/>
        </w:rPr>
        <w:t xml:space="preserve">prelazi </w:t>
      </w:r>
      <w:r w:rsidR="00824C7D" w:rsidRPr="007934A0">
        <w:rPr>
          <w:rFonts w:ascii="Times New Roman" w:hAnsi="Times New Roman"/>
          <w:sz w:val="24"/>
          <w:szCs w:val="24"/>
          <w:lang w:val="hr-HR"/>
        </w:rPr>
        <w:t>1</w:t>
      </w:r>
      <w:r w:rsidR="007934A0">
        <w:rPr>
          <w:rFonts w:ascii="Times New Roman" w:hAnsi="Times New Roman"/>
          <w:sz w:val="24"/>
          <w:szCs w:val="24"/>
          <w:lang w:val="hr-HR"/>
        </w:rPr>
        <w:t xml:space="preserve"> </w:t>
      </w:r>
      <w:r w:rsidRPr="007934A0">
        <w:rPr>
          <w:rFonts w:ascii="Times New Roman" w:hAnsi="Times New Roman"/>
          <w:sz w:val="24"/>
          <w:szCs w:val="24"/>
          <w:lang w:val="hr-HR"/>
        </w:rPr>
        <w:t>800 000 EUR po poduzetniku</w:t>
      </w:r>
      <w:r w:rsidRPr="007934A0">
        <w:rPr>
          <w:rStyle w:val="FootnoteReference"/>
          <w:rFonts w:ascii="Times New Roman" w:hAnsi="Times New Roman"/>
          <w:sz w:val="24"/>
          <w:szCs w:val="24"/>
        </w:rPr>
        <w:footnoteReference w:id="11"/>
      </w:r>
      <w:r w:rsidRPr="007934A0">
        <w:rPr>
          <w:rFonts w:ascii="Times New Roman" w:hAnsi="Times New Roman"/>
          <w:sz w:val="24"/>
          <w:szCs w:val="24"/>
          <w:lang w:val="hr-HR"/>
        </w:rPr>
        <w:t xml:space="preserve"> preračunato u hrvatske kune prema srednjem tečaju Hrvatske narodne banke na dan dodjele potpore. Iznos od</w:t>
      </w:r>
      <w:r w:rsidR="00824C7D" w:rsidRPr="007934A0">
        <w:rPr>
          <w:rFonts w:ascii="Times New Roman" w:hAnsi="Times New Roman"/>
          <w:sz w:val="24"/>
          <w:szCs w:val="24"/>
          <w:lang w:val="hr-HR"/>
        </w:rPr>
        <w:t xml:space="preserve"> 1</w:t>
      </w:r>
      <w:r w:rsidRPr="007934A0">
        <w:rPr>
          <w:rFonts w:ascii="Times New Roman" w:hAnsi="Times New Roman"/>
          <w:sz w:val="24"/>
          <w:szCs w:val="24"/>
          <w:lang w:val="hr-HR"/>
        </w:rPr>
        <w:t xml:space="preserve"> 800 000 EUR po poduzetniku o</w:t>
      </w:r>
      <w:r w:rsidRPr="0089172D">
        <w:rPr>
          <w:rFonts w:ascii="Times New Roman" w:hAnsi="Times New Roman"/>
          <w:sz w:val="24"/>
          <w:szCs w:val="24"/>
          <w:lang w:val="hr-HR"/>
        </w:rPr>
        <w:t>dnosi se na sva poduzeća u okviru određene grupe između kojih postoji povezanost u smislu članka 3. stavka 3. Priloga 1. Uredbe br. 651/2014.</w:t>
      </w:r>
    </w:p>
    <w:p w14:paraId="61EF6162" w14:textId="304966EE" w:rsidR="001D3C02" w:rsidRDefault="001D3C02" w:rsidP="001D3C02">
      <w:pPr>
        <w:pStyle w:val="ListParagraph1"/>
        <w:spacing w:after="240" w:line="360" w:lineRule="auto"/>
        <w:ind w:left="0"/>
        <w:contextualSpacing w:val="0"/>
        <w:jc w:val="both"/>
        <w:rPr>
          <w:rFonts w:ascii="Times New Roman" w:hAnsi="Times New Roman"/>
          <w:sz w:val="24"/>
          <w:szCs w:val="24"/>
          <w:lang w:val="hr-HR"/>
        </w:rPr>
      </w:pPr>
      <w:r w:rsidRPr="007934A0">
        <w:rPr>
          <w:rFonts w:ascii="Times New Roman" w:hAnsi="Times New Roman"/>
          <w:sz w:val="24"/>
          <w:szCs w:val="24"/>
          <w:lang w:val="hr-HR"/>
        </w:rPr>
        <w:t>Gornja granica od</w:t>
      </w:r>
      <w:r w:rsidR="00824C7D" w:rsidRPr="007934A0">
        <w:rPr>
          <w:rFonts w:ascii="Times New Roman" w:hAnsi="Times New Roman"/>
          <w:sz w:val="24"/>
          <w:szCs w:val="24"/>
          <w:lang w:val="hr-HR"/>
        </w:rPr>
        <w:t xml:space="preserve"> 1</w:t>
      </w:r>
      <w:r w:rsidRPr="007934A0">
        <w:rPr>
          <w:rFonts w:ascii="Times New Roman" w:hAnsi="Times New Roman"/>
          <w:sz w:val="24"/>
          <w:szCs w:val="24"/>
          <w:lang w:val="hr-HR"/>
        </w:rPr>
        <w:t xml:space="preserve"> 800 000 EUR iz stavka 3. ove točke se primjenjuje po poduzetniku neovisno o tome financira li se ta potpora u cijelosti ili djelomično državnim sredstvima </w:t>
      </w:r>
      <w:r w:rsidRPr="0089172D">
        <w:rPr>
          <w:rFonts w:ascii="Times New Roman" w:hAnsi="Times New Roman"/>
          <w:sz w:val="24"/>
          <w:szCs w:val="24"/>
          <w:lang w:val="hr-HR"/>
        </w:rPr>
        <w:t xml:space="preserve">Republike Hrvatske ili i iz sredstava europskih strukturnih, investicijskih i drugih fondova i </w:t>
      </w:r>
      <w:r w:rsidRPr="0089172D">
        <w:rPr>
          <w:rFonts w:ascii="Times New Roman" w:hAnsi="Times New Roman"/>
          <w:sz w:val="24"/>
          <w:szCs w:val="24"/>
          <w:lang w:val="hr-HR"/>
        </w:rPr>
        <w:lastRenderedPageBreak/>
        <w:t xml:space="preserve">neovisno o tome dodjeljuje li se potpora iz odjeljka „3.1. Ograničeni iznosi potpore“ u obliku izravnih bespovratnih sredstava, poreznih olakšica i povoljnijih uvjeta plaćanja ili u drugim oblicima, kao što su povratni predujmovi, jamstva, zajmovi i vlasnički kapital, pod uvjetom da ukupna nominalna vrijednost takvih mjera ne prelazi ukupnu gornju </w:t>
      </w:r>
      <w:r w:rsidRPr="007934A0">
        <w:rPr>
          <w:rFonts w:ascii="Times New Roman" w:hAnsi="Times New Roman"/>
          <w:sz w:val="24"/>
          <w:szCs w:val="24"/>
          <w:lang w:val="hr-HR"/>
        </w:rPr>
        <w:t>granicu od</w:t>
      </w:r>
      <w:r w:rsidR="008F6EFF" w:rsidRPr="007934A0">
        <w:rPr>
          <w:rFonts w:ascii="Times New Roman" w:hAnsi="Times New Roman"/>
          <w:sz w:val="24"/>
          <w:szCs w:val="24"/>
          <w:lang w:val="hr-HR"/>
        </w:rPr>
        <w:t xml:space="preserve"> </w:t>
      </w:r>
      <w:r w:rsidR="00824C7D" w:rsidRPr="007934A0">
        <w:rPr>
          <w:rFonts w:ascii="Times New Roman" w:hAnsi="Times New Roman"/>
          <w:sz w:val="24"/>
          <w:szCs w:val="24"/>
          <w:lang w:val="hr-HR"/>
        </w:rPr>
        <w:t>1</w:t>
      </w:r>
      <w:r w:rsidRPr="007934A0">
        <w:rPr>
          <w:rFonts w:ascii="Times New Roman" w:hAnsi="Times New Roman"/>
          <w:sz w:val="24"/>
          <w:szCs w:val="24"/>
          <w:lang w:val="hr-HR"/>
        </w:rPr>
        <w:t xml:space="preserve"> 800 000 EUR po poduzetniku sukladno ovom Programu ili bilo kojem drugom programu koji je Europska </w:t>
      </w:r>
      <w:r w:rsidRPr="0089172D">
        <w:rPr>
          <w:rFonts w:ascii="Times New Roman" w:hAnsi="Times New Roman"/>
          <w:sz w:val="24"/>
          <w:szCs w:val="24"/>
          <w:lang w:val="hr-HR"/>
        </w:rPr>
        <w:t>komisija odobrila na temelju odjeljka „3.1 Ograničeni iznosi potpore“ Privremenog okvira – COVID 19. Svi iznosi moraju biti bruto iznosi odnosno iznosi prije odbitka poreza ili drugih troškova.</w:t>
      </w:r>
    </w:p>
    <w:p w14:paraId="3777CE9C" w14:textId="0AFE8138" w:rsidR="001D3C02" w:rsidRPr="00500DAF" w:rsidRDefault="001D3C02" w:rsidP="001D3C02">
      <w:pPr>
        <w:pStyle w:val="ListParagraph1"/>
        <w:spacing w:after="240" w:line="360" w:lineRule="auto"/>
        <w:ind w:left="0"/>
        <w:jc w:val="both"/>
        <w:rPr>
          <w:rFonts w:ascii="Times New Roman" w:hAnsi="Times New Roman"/>
          <w:color w:val="FF0000"/>
          <w:sz w:val="24"/>
          <w:szCs w:val="24"/>
        </w:rPr>
      </w:pPr>
      <w:r w:rsidRPr="0089172D">
        <w:rPr>
          <w:rFonts w:ascii="Times New Roman" w:hAnsi="Times New Roman"/>
          <w:sz w:val="24"/>
          <w:szCs w:val="24"/>
          <w:lang w:val="hr-HR"/>
        </w:rPr>
        <w:t xml:space="preserve">Potpore iz ove točke se ne mogu dodijeliti poduzetnicima koji su već bili u teškoćama u smislu definicije iz točke VII. </w:t>
      </w:r>
      <w:proofErr w:type="spellStart"/>
      <w:r w:rsidRPr="0089172D">
        <w:rPr>
          <w:rFonts w:ascii="Times New Roman" w:hAnsi="Times New Roman"/>
          <w:sz w:val="24"/>
          <w:szCs w:val="24"/>
          <w:lang w:val="hr-HR"/>
        </w:rPr>
        <w:t>podtočke</w:t>
      </w:r>
      <w:proofErr w:type="spellEnd"/>
      <w:r w:rsidRPr="0089172D">
        <w:rPr>
          <w:rFonts w:ascii="Times New Roman" w:hAnsi="Times New Roman"/>
          <w:sz w:val="24"/>
          <w:szCs w:val="24"/>
          <w:lang w:val="hr-HR"/>
        </w:rPr>
        <w:t xml:space="preserve"> 10) ovog Programa odnosno članka </w:t>
      </w:r>
      <w:r w:rsidRPr="0089172D">
        <w:rPr>
          <w:rFonts w:ascii="Times New Roman" w:hAnsi="Times New Roman"/>
          <w:bCs/>
          <w:sz w:val="24"/>
          <w:szCs w:val="24"/>
          <w:lang w:val="hr-HR"/>
        </w:rPr>
        <w:t xml:space="preserve">2. točke 18. Uredbe </w:t>
      </w:r>
      <w:r w:rsidRPr="0089172D">
        <w:rPr>
          <w:rFonts w:ascii="Times New Roman" w:hAnsi="Times New Roman"/>
          <w:sz w:val="24"/>
          <w:szCs w:val="24"/>
          <w:lang w:val="hr-HR"/>
        </w:rPr>
        <w:t>Komisije br. 651/2014 na dan 31. prosinca 2019.</w:t>
      </w:r>
      <w:r w:rsidR="008F6EFF">
        <w:rPr>
          <w:rFonts w:ascii="Times New Roman" w:hAnsi="Times New Roman"/>
          <w:sz w:val="24"/>
          <w:szCs w:val="24"/>
          <w:lang w:val="hr-HR"/>
        </w:rPr>
        <w:t xml:space="preserve"> </w:t>
      </w:r>
      <w:proofErr w:type="spellStart"/>
      <w:r w:rsidRPr="00693C18">
        <w:rPr>
          <w:rFonts w:ascii="Times New Roman" w:hAnsi="Times New Roman"/>
          <w:sz w:val="24"/>
          <w:szCs w:val="24"/>
        </w:rPr>
        <w:t>uz</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iznimku</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mikro</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i</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malih</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poduzetnika</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prema</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uvjetima</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iz</w:t>
      </w:r>
      <w:proofErr w:type="spellEnd"/>
      <w:r w:rsidRPr="00693C18">
        <w:rPr>
          <w:rFonts w:ascii="Times New Roman" w:hAnsi="Times New Roman"/>
          <w:sz w:val="24"/>
          <w:szCs w:val="24"/>
        </w:rPr>
        <w:t xml:space="preserve"> </w:t>
      </w:r>
      <w:proofErr w:type="spellStart"/>
      <w:r w:rsidRPr="00693C18">
        <w:rPr>
          <w:rFonts w:ascii="Times New Roman" w:hAnsi="Times New Roman"/>
          <w:sz w:val="24"/>
          <w:szCs w:val="24"/>
        </w:rPr>
        <w:t>točke</w:t>
      </w:r>
      <w:proofErr w:type="spellEnd"/>
      <w:r w:rsidRPr="00693C18">
        <w:rPr>
          <w:rFonts w:ascii="Times New Roman" w:hAnsi="Times New Roman"/>
          <w:sz w:val="24"/>
          <w:szCs w:val="24"/>
        </w:rPr>
        <w:t xml:space="preserve"> IV. </w:t>
      </w:r>
      <w:proofErr w:type="spellStart"/>
      <w:r w:rsidRPr="00693C18">
        <w:rPr>
          <w:rFonts w:ascii="Times New Roman" w:hAnsi="Times New Roman"/>
          <w:sz w:val="24"/>
          <w:szCs w:val="24"/>
        </w:rPr>
        <w:t>ovog</w:t>
      </w:r>
      <w:proofErr w:type="spellEnd"/>
      <w:r w:rsidRPr="00693C18">
        <w:rPr>
          <w:rFonts w:ascii="Times New Roman" w:hAnsi="Times New Roman"/>
          <w:sz w:val="24"/>
          <w:szCs w:val="24"/>
        </w:rPr>
        <w:t xml:space="preserve"> </w:t>
      </w:r>
      <w:proofErr w:type="spellStart"/>
      <w:proofErr w:type="gramStart"/>
      <w:r w:rsidRPr="00693C18">
        <w:rPr>
          <w:rFonts w:ascii="Times New Roman" w:hAnsi="Times New Roman"/>
          <w:sz w:val="24"/>
          <w:szCs w:val="24"/>
        </w:rPr>
        <w:t>Programa</w:t>
      </w:r>
      <w:proofErr w:type="spellEnd"/>
      <w:r w:rsidRPr="00693C18">
        <w:rPr>
          <w:rFonts w:ascii="Times New Roman" w:hAnsi="Times New Roman"/>
          <w:sz w:val="24"/>
          <w:szCs w:val="24"/>
        </w:rPr>
        <w:t>“</w:t>
      </w:r>
      <w:proofErr w:type="gramEnd"/>
    </w:p>
    <w:p w14:paraId="0A3E00A1" w14:textId="77777777" w:rsidR="001D3C02" w:rsidRPr="0089172D" w:rsidRDefault="001D3C02" w:rsidP="001D3C02">
      <w:pPr>
        <w:pStyle w:val="ListParagraph1"/>
        <w:spacing w:after="240" w:line="360" w:lineRule="auto"/>
        <w:ind w:left="0"/>
        <w:jc w:val="both"/>
        <w:rPr>
          <w:rFonts w:ascii="Times New Roman" w:hAnsi="Times New Roman"/>
          <w:sz w:val="24"/>
          <w:szCs w:val="24"/>
          <w:lang w:val="hr-HR"/>
        </w:rPr>
      </w:pPr>
    </w:p>
    <w:p w14:paraId="07AADEAF" w14:textId="30F1D0E0" w:rsidR="001D3C02" w:rsidRPr="0089172D" w:rsidRDefault="001D3C02" w:rsidP="001D3C02">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Jamstvo mora biti izdano </w:t>
      </w:r>
      <w:r w:rsidRPr="007934A0">
        <w:rPr>
          <w:rFonts w:ascii="Times New Roman" w:hAnsi="Times New Roman"/>
          <w:sz w:val="24"/>
          <w:szCs w:val="24"/>
          <w:lang w:val="hr-HR"/>
        </w:rPr>
        <w:t xml:space="preserve">do </w:t>
      </w:r>
      <w:r w:rsidR="00824C7D" w:rsidRPr="007934A0">
        <w:rPr>
          <w:rFonts w:ascii="Times New Roman" w:hAnsi="Times New Roman"/>
          <w:sz w:val="24"/>
          <w:szCs w:val="24"/>
          <w:lang w:val="hr-HR"/>
        </w:rPr>
        <w:t>3</w:t>
      </w:r>
      <w:r w:rsidR="00B8467B">
        <w:rPr>
          <w:rFonts w:ascii="Times New Roman" w:hAnsi="Times New Roman"/>
          <w:sz w:val="24"/>
          <w:szCs w:val="24"/>
          <w:lang w:val="hr-HR"/>
        </w:rPr>
        <w:t>0</w:t>
      </w:r>
      <w:r w:rsidR="00824C7D" w:rsidRPr="007934A0">
        <w:rPr>
          <w:rFonts w:ascii="Times New Roman" w:hAnsi="Times New Roman"/>
          <w:sz w:val="24"/>
          <w:szCs w:val="24"/>
          <w:lang w:val="hr-HR"/>
        </w:rPr>
        <w:t>.</w:t>
      </w:r>
      <w:r w:rsidR="00B8467B">
        <w:rPr>
          <w:rFonts w:ascii="Times New Roman" w:hAnsi="Times New Roman"/>
          <w:sz w:val="24"/>
          <w:szCs w:val="24"/>
          <w:lang w:val="hr-HR"/>
        </w:rPr>
        <w:t>6</w:t>
      </w:r>
      <w:r w:rsidR="00824C7D" w:rsidRPr="007934A0">
        <w:rPr>
          <w:rFonts w:ascii="Times New Roman" w:hAnsi="Times New Roman"/>
          <w:sz w:val="24"/>
          <w:szCs w:val="24"/>
          <w:lang w:val="hr-HR"/>
        </w:rPr>
        <w:t>.</w:t>
      </w:r>
      <w:r w:rsidRPr="007934A0">
        <w:rPr>
          <w:rFonts w:ascii="Times New Roman" w:hAnsi="Times New Roman"/>
          <w:sz w:val="24"/>
          <w:szCs w:val="24"/>
          <w:lang w:val="hr-HR"/>
        </w:rPr>
        <w:t>202</w:t>
      </w:r>
      <w:r w:rsidR="00B8467B">
        <w:rPr>
          <w:rFonts w:ascii="Times New Roman" w:hAnsi="Times New Roman"/>
          <w:sz w:val="24"/>
          <w:szCs w:val="24"/>
          <w:lang w:val="hr-HR"/>
        </w:rPr>
        <w:t>2</w:t>
      </w:r>
      <w:r w:rsidRPr="007934A0">
        <w:rPr>
          <w:rFonts w:ascii="Times New Roman" w:hAnsi="Times New Roman"/>
          <w:sz w:val="24"/>
          <w:szCs w:val="24"/>
          <w:lang w:val="hr-HR"/>
        </w:rPr>
        <w:t>.</w:t>
      </w:r>
    </w:p>
    <w:p w14:paraId="412D89E9" w14:textId="00DBE558" w:rsidR="001D3C02" w:rsidRPr="0089172D" w:rsidRDefault="001D3C02" w:rsidP="001D3C02">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Ako poduzetnik djeluje u više sektora na koje se u skladu s točkom 22. </w:t>
      </w:r>
      <w:proofErr w:type="spellStart"/>
      <w:r w:rsidRPr="0089172D">
        <w:rPr>
          <w:rFonts w:ascii="Times New Roman" w:hAnsi="Times New Roman"/>
          <w:sz w:val="24"/>
          <w:szCs w:val="24"/>
          <w:lang w:val="hr-HR"/>
        </w:rPr>
        <w:t>podtočkom</w:t>
      </w:r>
      <w:proofErr w:type="spellEnd"/>
      <w:r w:rsidRPr="0089172D">
        <w:rPr>
          <w:rFonts w:ascii="Times New Roman" w:hAnsi="Times New Roman"/>
          <w:sz w:val="24"/>
          <w:szCs w:val="24"/>
          <w:lang w:val="hr-HR"/>
        </w:rPr>
        <w:t xml:space="preserve"> (a) i točkom 23. </w:t>
      </w:r>
      <w:proofErr w:type="spellStart"/>
      <w:r w:rsidRPr="0089172D">
        <w:rPr>
          <w:rFonts w:ascii="Times New Roman" w:hAnsi="Times New Roman"/>
          <w:sz w:val="24"/>
          <w:szCs w:val="24"/>
          <w:lang w:val="hr-HR"/>
        </w:rPr>
        <w:t>podtočkom</w:t>
      </w:r>
      <w:proofErr w:type="spellEnd"/>
      <w:r w:rsidRPr="0089172D">
        <w:rPr>
          <w:rFonts w:ascii="Times New Roman" w:hAnsi="Times New Roman"/>
          <w:sz w:val="24"/>
          <w:szCs w:val="24"/>
          <w:lang w:val="hr-HR"/>
        </w:rPr>
        <w:t xml:space="preserve"> (a) Privremenog okvira – COVID 19 primjenjuju različiti maksimalni iznosi, taj je poduzetnik u obvezi na odgovarajući način tj. razdvajanjem računa osigurati da se za svaku od tih djelatnosti poštuje odgovarajuća gornja granica te da se ne premaši maksimalni iznos </w:t>
      </w:r>
      <w:r w:rsidRPr="000F6423">
        <w:rPr>
          <w:rFonts w:ascii="Times New Roman" w:hAnsi="Times New Roman"/>
          <w:sz w:val="24"/>
          <w:szCs w:val="24"/>
          <w:lang w:val="hr-HR"/>
        </w:rPr>
        <w:t xml:space="preserve">od </w:t>
      </w:r>
      <w:r w:rsidR="00824C7D" w:rsidRPr="000F6423">
        <w:rPr>
          <w:rFonts w:ascii="Times New Roman" w:hAnsi="Times New Roman"/>
          <w:sz w:val="24"/>
          <w:szCs w:val="24"/>
          <w:lang w:val="hr-HR"/>
        </w:rPr>
        <w:t xml:space="preserve">1 </w:t>
      </w:r>
      <w:r w:rsidRPr="000F6423">
        <w:rPr>
          <w:rFonts w:ascii="Times New Roman" w:hAnsi="Times New Roman"/>
          <w:sz w:val="24"/>
          <w:szCs w:val="24"/>
          <w:lang w:val="hr-HR"/>
        </w:rPr>
        <w:t xml:space="preserve">800 000 EUR </w:t>
      </w:r>
      <w:r w:rsidRPr="0089172D">
        <w:rPr>
          <w:rFonts w:ascii="Times New Roman" w:hAnsi="Times New Roman"/>
          <w:sz w:val="24"/>
          <w:szCs w:val="24"/>
          <w:lang w:val="hr-HR"/>
        </w:rPr>
        <w:t xml:space="preserve">po poduzetniku. Ako poduzetnik djeluje u sektorima iz točke 23. </w:t>
      </w:r>
      <w:proofErr w:type="spellStart"/>
      <w:r w:rsidRPr="0089172D">
        <w:rPr>
          <w:rFonts w:ascii="Times New Roman" w:hAnsi="Times New Roman"/>
          <w:sz w:val="24"/>
          <w:szCs w:val="24"/>
          <w:lang w:val="hr-HR"/>
        </w:rPr>
        <w:t>podtočke</w:t>
      </w:r>
      <w:proofErr w:type="spellEnd"/>
      <w:r w:rsidRPr="0089172D">
        <w:rPr>
          <w:rFonts w:ascii="Times New Roman" w:hAnsi="Times New Roman"/>
          <w:sz w:val="24"/>
          <w:szCs w:val="24"/>
          <w:lang w:val="hr-HR"/>
        </w:rPr>
        <w:t xml:space="preserve"> (a), nije dopušteno prekoračenje maksimalnog iznosa o</w:t>
      </w:r>
      <w:r w:rsidRPr="007934A0">
        <w:rPr>
          <w:rFonts w:ascii="Times New Roman" w:hAnsi="Times New Roman"/>
          <w:sz w:val="24"/>
          <w:szCs w:val="24"/>
          <w:lang w:val="hr-HR"/>
        </w:rPr>
        <w:t xml:space="preserve">d </w:t>
      </w:r>
      <w:r w:rsidR="008F6EFF" w:rsidRPr="007934A0">
        <w:rPr>
          <w:rFonts w:ascii="Times New Roman" w:hAnsi="Times New Roman"/>
          <w:sz w:val="24"/>
          <w:szCs w:val="24"/>
          <w:lang w:val="hr-HR"/>
        </w:rPr>
        <w:t>270 000 EUR po poduzetniku koji djeluje u sektoru ribarstva i akvakulture</w:t>
      </w:r>
      <w:r w:rsidR="008F6EFF" w:rsidRPr="007934A0">
        <w:rPr>
          <w:rStyle w:val="FootnoteReference"/>
          <w:rFonts w:ascii="Times New Roman" w:hAnsi="Times New Roman"/>
          <w:sz w:val="24"/>
          <w:szCs w:val="24"/>
          <w:lang w:val="hr-HR"/>
        </w:rPr>
        <w:footnoteReference w:id="12"/>
      </w:r>
      <w:r w:rsidR="008F6EFF" w:rsidRPr="007934A0">
        <w:rPr>
          <w:rFonts w:ascii="Times New Roman" w:hAnsi="Times New Roman"/>
          <w:sz w:val="24"/>
          <w:szCs w:val="24"/>
          <w:lang w:val="hr-HR"/>
        </w:rPr>
        <w:t xml:space="preserve"> ili 225 000 EUR </w:t>
      </w:r>
      <w:r w:rsidRPr="007934A0">
        <w:rPr>
          <w:rFonts w:ascii="Times New Roman" w:hAnsi="Times New Roman"/>
          <w:sz w:val="24"/>
          <w:szCs w:val="24"/>
          <w:lang w:val="hr-HR"/>
        </w:rPr>
        <w:t>po poduzetniku</w:t>
      </w:r>
      <w:r w:rsidR="008F6EFF" w:rsidRPr="007934A0">
        <w:rPr>
          <w:rFonts w:ascii="Times New Roman" w:hAnsi="Times New Roman"/>
          <w:sz w:val="24"/>
          <w:szCs w:val="24"/>
          <w:lang w:val="hr-HR"/>
        </w:rPr>
        <w:t xml:space="preserve"> koji djeluje u sektoru primarne poljoprivredne proizvodnje</w:t>
      </w:r>
      <w:r w:rsidR="008F6EFF" w:rsidRPr="007934A0">
        <w:rPr>
          <w:rStyle w:val="FootnoteReference"/>
          <w:rFonts w:ascii="Times New Roman" w:hAnsi="Times New Roman"/>
          <w:sz w:val="24"/>
          <w:szCs w:val="24"/>
          <w:lang w:val="hr-HR"/>
        </w:rPr>
        <w:footnoteReference w:id="13"/>
      </w:r>
      <w:r w:rsidRPr="007934A0">
        <w:rPr>
          <w:rFonts w:ascii="Times New Roman" w:hAnsi="Times New Roman"/>
          <w:sz w:val="24"/>
          <w:szCs w:val="24"/>
          <w:lang w:val="hr-HR"/>
        </w:rPr>
        <w:t xml:space="preserve">. </w:t>
      </w:r>
    </w:p>
    <w:p w14:paraId="1252246C" w14:textId="47E6EA6E" w:rsidR="00F00B10" w:rsidRDefault="001D3C02" w:rsidP="00CB0F58">
      <w:pPr>
        <w:pStyle w:val="ListParagraph1"/>
        <w:spacing w:after="240" w:line="360" w:lineRule="auto"/>
        <w:ind w:left="0"/>
        <w:contextualSpacing w:val="0"/>
        <w:jc w:val="both"/>
      </w:pPr>
      <w:r w:rsidRPr="0089172D">
        <w:rPr>
          <w:rFonts w:ascii="Times New Roman" w:hAnsi="Times New Roman"/>
          <w:sz w:val="24"/>
          <w:szCs w:val="24"/>
          <w:lang w:val="hr-HR"/>
        </w:rPr>
        <w:t xml:space="preserve">HAMAG-BICRO će izdavati jamstva iz stavka 1. ove točke malim i srednjim poduzetnicima (MSP) u smislu definicije iz točke VII. </w:t>
      </w:r>
      <w:proofErr w:type="spellStart"/>
      <w:r w:rsidRPr="0089172D">
        <w:rPr>
          <w:rFonts w:ascii="Times New Roman" w:hAnsi="Times New Roman"/>
          <w:sz w:val="24"/>
          <w:szCs w:val="24"/>
          <w:lang w:val="hr-HR"/>
        </w:rPr>
        <w:t>podtočke</w:t>
      </w:r>
      <w:proofErr w:type="spellEnd"/>
      <w:r w:rsidRPr="0089172D">
        <w:rPr>
          <w:rFonts w:ascii="Times New Roman" w:hAnsi="Times New Roman"/>
          <w:sz w:val="24"/>
          <w:szCs w:val="24"/>
          <w:lang w:val="hr-HR"/>
        </w:rPr>
        <w:t xml:space="preserve"> 8) ovog Programa, a HBOR velikim poduzetnicima u smislu definicije iz točke VII. </w:t>
      </w:r>
      <w:proofErr w:type="spellStart"/>
      <w:r w:rsidRPr="0089172D">
        <w:rPr>
          <w:rFonts w:ascii="Times New Roman" w:hAnsi="Times New Roman"/>
          <w:sz w:val="24"/>
          <w:szCs w:val="24"/>
          <w:lang w:val="hr-HR"/>
        </w:rPr>
        <w:t>podtočke</w:t>
      </w:r>
      <w:proofErr w:type="spellEnd"/>
      <w:r w:rsidRPr="0089172D">
        <w:rPr>
          <w:rFonts w:ascii="Times New Roman" w:hAnsi="Times New Roman"/>
          <w:sz w:val="24"/>
          <w:szCs w:val="24"/>
          <w:lang w:val="hr-HR"/>
        </w:rPr>
        <w:t xml:space="preserve"> 9) ovog Programa.</w:t>
      </w:r>
    </w:p>
    <w:p w14:paraId="744C0A1D" w14:textId="77777777" w:rsidR="001D3C02" w:rsidRPr="0089172D" w:rsidRDefault="001D3C02" w:rsidP="001D3C02">
      <w:pPr>
        <w:pStyle w:val="ListParagraph3"/>
        <w:spacing w:after="240" w:line="360" w:lineRule="auto"/>
        <w:ind w:left="0"/>
        <w:contextualSpacing w:val="0"/>
        <w:jc w:val="center"/>
        <w:rPr>
          <w:rFonts w:ascii="Times New Roman" w:hAnsi="Times New Roman"/>
          <w:b/>
          <w:bCs/>
          <w:sz w:val="24"/>
          <w:szCs w:val="24"/>
          <w:lang w:val="hr-HR"/>
        </w:rPr>
      </w:pPr>
      <w:r>
        <w:rPr>
          <w:rFonts w:ascii="Times New Roman" w:hAnsi="Times New Roman"/>
          <w:b/>
          <w:bCs/>
          <w:sz w:val="24"/>
          <w:szCs w:val="24"/>
          <w:lang w:val="hr-HR"/>
        </w:rPr>
        <w:t>I</w:t>
      </w:r>
      <w:r w:rsidRPr="0089172D">
        <w:rPr>
          <w:rFonts w:ascii="Times New Roman" w:hAnsi="Times New Roman"/>
          <w:b/>
          <w:bCs/>
          <w:sz w:val="24"/>
          <w:szCs w:val="24"/>
          <w:lang w:val="hr-HR"/>
        </w:rPr>
        <w:t>X.</w:t>
      </w:r>
    </w:p>
    <w:p w14:paraId="242CF44C" w14:textId="77777777" w:rsidR="001D3C02" w:rsidRPr="0089172D" w:rsidRDefault="001D3C02" w:rsidP="001D3C02">
      <w:pPr>
        <w:pStyle w:val="ListParagraph3"/>
        <w:spacing w:after="240" w:line="360" w:lineRule="auto"/>
        <w:ind w:left="0"/>
        <w:contextualSpacing w:val="0"/>
        <w:jc w:val="center"/>
        <w:rPr>
          <w:rFonts w:ascii="Times New Roman" w:hAnsi="Times New Roman"/>
          <w:b/>
          <w:bCs/>
          <w:sz w:val="24"/>
          <w:szCs w:val="24"/>
          <w:lang w:val="hr-HR"/>
        </w:rPr>
      </w:pPr>
      <w:r w:rsidRPr="0089172D">
        <w:rPr>
          <w:rFonts w:ascii="Times New Roman" w:hAnsi="Times New Roman"/>
          <w:b/>
          <w:bCs/>
          <w:sz w:val="24"/>
          <w:szCs w:val="24"/>
          <w:lang w:val="hr-HR"/>
        </w:rPr>
        <w:lastRenderedPageBreak/>
        <w:t>Jamstva za zajmove iz odjeljka „3.2. Potpora u obliku jamstava za zajmove“</w:t>
      </w:r>
    </w:p>
    <w:p w14:paraId="6BA4C187" w14:textId="77777777" w:rsidR="001D3C02" w:rsidRPr="0089172D" w:rsidRDefault="001D3C02" w:rsidP="001D3C02">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 xml:space="preserve">Ako se potpora u obliku jamstava za zajmove ne može dodijeliti sukladno točki VIII. ovog Programa jer ukupna nominalna vrijednost prelazi gornju granicu </w:t>
      </w:r>
      <w:r w:rsidRPr="007934A0">
        <w:rPr>
          <w:rFonts w:ascii="Times New Roman" w:hAnsi="Times New Roman"/>
          <w:bCs/>
          <w:sz w:val="24"/>
          <w:szCs w:val="24"/>
          <w:lang w:val="hr-HR"/>
        </w:rPr>
        <w:t xml:space="preserve">od </w:t>
      </w:r>
      <w:r w:rsidR="00824C7D" w:rsidRPr="007934A0">
        <w:rPr>
          <w:rFonts w:ascii="Times New Roman" w:hAnsi="Times New Roman"/>
          <w:bCs/>
          <w:sz w:val="24"/>
          <w:szCs w:val="24"/>
          <w:lang w:val="hr-HR"/>
        </w:rPr>
        <w:t xml:space="preserve">1 </w:t>
      </w:r>
      <w:r w:rsidRPr="007934A0">
        <w:rPr>
          <w:rFonts w:ascii="Times New Roman" w:hAnsi="Times New Roman"/>
          <w:bCs/>
          <w:sz w:val="24"/>
          <w:szCs w:val="24"/>
          <w:lang w:val="hr-HR"/>
        </w:rPr>
        <w:t xml:space="preserve">800 000 EUR, </w:t>
      </w:r>
      <w:r w:rsidRPr="0089172D">
        <w:rPr>
          <w:rFonts w:ascii="Times New Roman" w:hAnsi="Times New Roman"/>
          <w:bCs/>
          <w:sz w:val="24"/>
          <w:szCs w:val="24"/>
          <w:lang w:val="hr-HR"/>
        </w:rPr>
        <w:t xml:space="preserve">dodjeljivat će se u obliku jamstva u skladu s odjeljkom 3.2. Privremenog okvira – COVID 19. </w:t>
      </w:r>
    </w:p>
    <w:p w14:paraId="2AA1418B" w14:textId="0CE45E2C" w:rsidR="001D3C02" w:rsidRPr="0089172D" w:rsidRDefault="001D3C02" w:rsidP="001D3C02">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Jamstva iz ove točke mogu se dodijeliti na ograničeno vrijeme i moraju biti prikladno, nužno i ciljano rješenje  </w:t>
      </w:r>
      <w:r w:rsidR="00AA7937">
        <w:rPr>
          <w:rFonts w:ascii="Times New Roman" w:hAnsi="Times New Roman"/>
          <w:sz w:val="24"/>
          <w:szCs w:val="24"/>
          <w:lang w:val="hr-HR"/>
        </w:rPr>
        <w:t xml:space="preserve">u okolnostima </w:t>
      </w:r>
      <w:r w:rsidRPr="0089172D">
        <w:rPr>
          <w:rFonts w:ascii="Times New Roman" w:hAnsi="Times New Roman"/>
          <w:sz w:val="24"/>
          <w:szCs w:val="24"/>
          <w:lang w:val="hr-HR"/>
        </w:rPr>
        <w:t>izazvani</w:t>
      </w:r>
      <w:r w:rsidR="00AA7937">
        <w:rPr>
          <w:rFonts w:ascii="Times New Roman" w:hAnsi="Times New Roman"/>
          <w:sz w:val="24"/>
          <w:szCs w:val="24"/>
          <w:lang w:val="hr-HR"/>
        </w:rPr>
        <w:t>m</w:t>
      </w:r>
      <w:r w:rsidRPr="0089172D">
        <w:rPr>
          <w:rFonts w:ascii="Times New Roman" w:hAnsi="Times New Roman"/>
          <w:sz w:val="24"/>
          <w:szCs w:val="24"/>
          <w:lang w:val="hr-HR"/>
        </w:rPr>
        <w:t xml:space="preserve"> krizom zbog </w:t>
      </w:r>
      <w:proofErr w:type="spellStart"/>
      <w:r w:rsidRPr="0089172D">
        <w:rPr>
          <w:rFonts w:ascii="Times New Roman" w:hAnsi="Times New Roman"/>
          <w:sz w:val="24"/>
          <w:szCs w:val="24"/>
          <w:lang w:val="hr-HR"/>
        </w:rPr>
        <w:t>pandemije</w:t>
      </w:r>
      <w:proofErr w:type="spellEnd"/>
      <w:r w:rsidRPr="0089172D">
        <w:rPr>
          <w:rFonts w:ascii="Times New Roman" w:hAnsi="Times New Roman"/>
          <w:sz w:val="24"/>
          <w:szCs w:val="24"/>
          <w:lang w:val="hr-HR"/>
        </w:rPr>
        <w:t xml:space="preserve"> COVID-a 19. </w:t>
      </w:r>
    </w:p>
    <w:p w14:paraId="0F8FCA67" w14:textId="77777777" w:rsidR="001D3C02" w:rsidRPr="0089172D" w:rsidRDefault="001D3C02" w:rsidP="001D3C02">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Jamstva iz ove točke izdavat će HAMAG-BICRO za male i srednje poduzetnike (MSP) u smislu definicije iz točke VII. pod točke 8) ovog Programa, a HBOR za velike poduzetnike u smislu definicije iz točke VII. </w:t>
      </w:r>
      <w:proofErr w:type="spellStart"/>
      <w:r w:rsidRPr="0089172D">
        <w:rPr>
          <w:rFonts w:ascii="Times New Roman" w:hAnsi="Times New Roman"/>
          <w:sz w:val="24"/>
          <w:szCs w:val="24"/>
          <w:lang w:val="hr-HR"/>
        </w:rPr>
        <w:t>podtočke</w:t>
      </w:r>
      <w:proofErr w:type="spellEnd"/>
      <w:r w:rsidRPr="0089172D">
        <w:rPr>
          <w:rFonts w:ascii="Times New Roman" w:hAnsi="Times New Roman"/>
          <w:sz w:val="24"/>
          <w:szCs w:val="24"/>
          <w:lang w:val="hr-HR"/>
        </w:rPr>
        <w:t xml:space="preserve"> 9) ovog Programa.</w:t>
      </w:r>
    </w:p>
    <w:p w14:paraId="1A549A8D" w14:textId="77777777" w:rsidR="001D3C02" w:rsidRPr="0089172D" w:rsidRDefault="001D3C02" w:rsidP="001D3C02">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Jamstva iz ove točke mogu se dodijeliti isključivo za nove zajmove za obrtni kapital, a mogu se izdavati uz ispunjenje sljedećih uvjeta:</w:t>
      </w:r>
    </w:p>
    <w:p w14:paraId="3AB9DCFD" w14:textId="77777777" w:rsidR="001D3C02" w:rsidRPr="0089172D"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1)</w:t>
      </w:r>
      <w:r>
        <w:rPr>
          <w:rFonts w:ascii="Times New Roman" w:hAnsi="Times New Roman"/>
          <w:sz w:val="24"/>
          <w:szCs w:val="24"/>
          <w:lang w:val="hr-HR"/>
        </w:rPr>
        <w:tab/>
      </w:r>
      <w:r w:rsidRPr="0089172D">
        <w:rPr>
          <w:rFonts w:ascii="Times New Roman" w:hAnsi="Times New Roman"/>
          <w:sz w:val="24"/>
          <w:szCs w:val="24"/>
          <w:lang w:val="hr-HR"/>
        </w:rPr>
        <w:t>premije za jamstvo se utvrđuju za pojedinačne zajmove na najnižoj razini, koja se postupno povećava ovisno o trajanju zajma pokrivenog jamstvom, i to kako slijedi:</w:t>
      </w:r>
    </w:p>
    <w:p w14:paraId="075FBC3B" w14:textId="77777777" w:rsidR="001D3C02" w:rsidRPr="0089172D" w:rsidRDefault="001D3C02" w:rsidP="001D3C02">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w:t>
      </w:r>
      <w:r>
        <w:rPr>
          <w:rFonts w:ascii="Times New Roman" w:hAnsi="Times New Roman"/>
          <w:sz w:val="24"/>
          <w:szCs w:val="24"/>
          <w:lang w:val="hr-HR"/>
        </w:rPr>
        <w:tab/>
      </w:r>
      <w:r w:rsidRPr="0089172D">
        <w:rPr>
          <w:rFonts w:ascii="Times New Roman" w:hAnsi="Times New Roman"/>
          <w:sz w:val="24"/>
          <w:szCs w:val="24"/>
          <w:lang w:val="hr-HR"/>
        </w:rPr>
        <w:t xml:space="preserve">za MSP-ove za prvu godinu 25 baznih bodova, od druge do treće godine 50 baznih bodova i od četvrte do šeste godine 100 baznih bodova; </w:t>
      </w:r>
    </w:p>
    <w:p w14:paraId="7EC4C4D9" w14:textId="77777777" w:rsidR="001D3C02" w:rsidRPr="0089172D" w:rsidRDefault="001D3C02" w:rsidP="001D3C02">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Pr>
          <w:rFonts w:ascii="Times New Roman" w:hAnsi="Times New Roman"/>
          <w:sz w:val="24"/>
          <w:szCs w:val="24"/>
          <w:lang w:val="hr-HR"/>
        </w:rPr>
        <w:tab/>
      </w:r>
      <w:r w:rsidRPr="0089172D">
        <w:rPr>
          <w:rFonts w:ascii="Times New Roman" w:hAnsi="Times New Roman"/>
          <w:sz w:val="24"/>
          <w:szCs w:val="24"/>
          <w:lang w:val="hr-HR"/>
        </w:rPr>
        <w:t>za velika poduzeća za prvu godinu 50 baznih bodova, od druge do treće godine 100 baznih bodova i od četvrte do šeste godine 200 baznih bodova;</w:t>
      </w:r>
    </w:p>
    <w:p w14:paraId="5DC0B97B" w14:textId="7181EE41" w:rsidR="001D3C02" w:rsidRPr="007934A0"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2)</w:t>
      </w:r>
      <w:r>
        <w:rPr>
          <w:rFonts w:ascii="Times New Roman" w:hAnsi="Times New Roman"/>
          <w:sz w:val="24"/>
          <w:szCs w:val="24"/>
          <w:lang w:val="hr-HR"/>
        </w:rPr>
        <w:tab/>
      </w:r>
      <w:r w:rsidRPr="0089172D">
        <w:rPr>
          <w:rFonts w:ascii="Times New Roman" w:hAnsi="Times New Roman"/>
          <w:sz w:val="24"/>
          <w:szCs w:val="24"/>
          <w:lang w:val="hr-HR"/>
        </w:rPr>
        <w:t xml:space="preserve">jamstvo će biti izdano najkasnije </w:t>
      </w:r>
      <w:r w:rsidR="00824C7D">
        <w:rPr>
          <w:rFonts w:ascii="Times New Roman" w:hAnsi="Times New Roman"/>
          <w:sz w:val="24"/>
          <w:szCs w:val="24"/>
          <w:lang w:val="hr-HR"/>
        </w:rPr>
        <w:t xml:space="preserve">do </w:t>
      </w:r>
      <w:r w:rsidR="00824C7D" w:rsidRPr="007934A0">
        <w:rPr>
          <w:rFonts w:ascii="Times New Roman" w:hAnsi="Times New Roman"/>
          <w:sz w:val="24"/>
          <w:szCs w:val="24"/>
          <w:lang w:val="hr-HR"/>
        </w:rPr>
        <w:t>3</w:t>
      </w:r>
      <w:r w:rsidR="00B8467B">
        <w:rPr>
          <w:rFonts w:ascii="Times New Roman" w:hAnsi="Times New Roman"/>
          <w:sz w:val="24"/>
          <w:szCs w:val="24"/>
          <w:lang w:val="hr-HR"/>
        </w:rPr>
        <w:t>0</w:t>
      </w:r>
      <w:r w:rsidRPr="007934A0">
        <w:rPr>
          <w:rFonts w:ascii="Times New Roman" w:hAnsi="Times New Roman"/>
          <w:sz w:val="24"/>
          <w:szCs w:val="24"/>
          <w:lang w:val="hr-HR"/>
        </w:rPr>
        <w:t xml:space="preserve">. </w:t>
      </w:r>
      <w:r w:rsidR="00B8467B">
        <w:rPr>
          <w:rFonts w:ascii="Times New Roman" w:hAnsi="Times New Roman"/>
          <w:sz w:val="24"/>
          <w:szCs w:val="24"/>
          <w:lang w:val="hr-HR"/>
        </w:rPr>
        <w:t>lipnja</w:t>
      </w:r>
      <w:r w:rsidR="00824C7D" w:rsidRPr="007934A0">
        <w:rPr>
          <w:rFonts w:ascii="Times New Roman" w:hAnsi="Times New Roman"/>
          <w:sz w:val="24"/>
          <w:szCs w:val="24"/>
          <w:lang w:val="hr-HR"/>
        </w:rPr>
        <w:t xml:space="preserve"> </w:t>
      </w:r>
      <w:r w:rsidRPr="007934A0">
        <w:rPr>
          <w:rFonts w:ascii="Times New Roman" w:hAnsi="Times New Roman"/>
          <w:sz w:val="24"/>
          <w:szCs w:val="24"/>
          <w:lang w:val="hr-HR"/>
        </w:rPr>
        <w:t>202</w:t>
      </w:r>
      <w:r w:rsidR="00B8467B">
        <w:rPr>
          <w:rFonts w:ascii="Times New Roman" w:hAnsi="Times New Roman"/>
          <w:sz w:val="24"/>
          <w:szCs w:val="24"/>
          <w:lang w:val="hr-HR"/>
        </w:rPr>
        <w:t>2</w:t>
      </w:r>
      <w:r w:rsidRPr="007934A0">
        <w:rPr>
          <w:rFonts w:ascii="Times New Roman" w:hAnsi="Times New Roman"/>
          <w:sz w:val="24"/>
          <w:szCs w:val="24"/>
          <w:lang w:val="hr-HR"/>
        </w:rPr>
        <w:t>.;</w:t>
      </w:r>
    </w:p>
    <w:p w14:paraId="45989F3E" w14:textId="6D4E2C17" w:rsidR="001D3C02" w:rsidRPr="0089172D"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7934A0">
        <w:rPr>
          <w:rFonts w:ascii="Times New Roman" w:hAnsi="Times New Roman"/>
          <w:sz w:val="24"/>
          <w:szCs w:val="24"/>
          <w:lang w:val="hr-HR"/>
        </w:rPr>
        <w:t>3)</w:t>
      </w:r>
      <w:r w:rsidRPr="007934A0">
        <w:rPr>
          <w:rFonts w:ascii="Times New Roman" w:hAnsi="Times New Roman"/>
          <w:sz w:val="24"/>
          <w:szCs w:val="24"/>
          <w:lang w:val="hr-HR"/>
        </w:rPr>
        <w:tab/>
        <w:t>za</w:t>
      </w:r>
      <w:r w:rsidR="00824C7D" w:rsidRPr="007934A0">
        <w:rPr>
          <w:rFonts w:ascii="Times New Roman" w:hAnsi="Times New Roman"/>
          <w:sz w:val="24"/>
          <w:szCs w:val="24"/>
          <w:lang w:val="hr-HR"/>
        </w:rPr>
        <w:t xml:space="preserve"> zajmove s rokom dospijeća </w:t>
      </w:r>
      <w:r w:rsidR="009F15C4" w:rsidRPr="007934A0">
        <w:rPr>
          <w:rFonts w:ascii="Times New Roman" w:hAnsi="Times New Roman"/>
          <w:sz w:val="24"/>
          <w:szCs w:val="24"/>
          <w:lang w:val="hr-HR"/>
        </w:rPr>
        <w:t xml:space="preserve">prije i </w:t>
      </w:r>
      <w:r w:rsidR="00E7046B" w:rsidRPr="007934A0">
        <w:rPr>
          <w:rFonts w:ascii="Times New Roman" w:hAnsi="Times New Roman"/>
          <w:sz w:val="24"/>
          <w:szCs w:val="24"/>
          <w:lang w:val="hr-HR"/>
        </w:rPr>
        <w:t>nakon</w:t>
      </w:r>
      <w:r w:rsidR="003C15EC" w:rsidRPr="007934A0">
        <w:rPr>
          <w:rFonts w:ascii="Times New Roman" w:hAnsi="Times New Roman"/>
          <w:sz w:val="24"/>
          <w:szCs w:val="24"/>
          <w:lang w:val="hr-HR"/>
        </w:rPr>
        <w:t xml:space="preserve"> </w:t>
      </w:r>
      <w:r w:rsidR="00824C7D" w:rsidRPr="007934A0">
        <w:rPr>
          <w:rFonts w:ascii="Times New Roman" w:hAnsi="Times New Roman"/>
          <w:sz w:val="24"/>
          <w:szCs w:val="24"/>
          <w:lang w:val="hr-HR"/>
        </w:rPr>
        <w:t>3</w:t>
      </w:r>
      <w:r w:rsidR="00B8467B">
        <w:rPr>
          <w:rFonts w:ascii="Times New Roman" w:hAnsi="Times New Roman"/>
          <w:sz w:val="24"/>
          <w:szCs w:val="24"/>
          <w:lang w:val="hr-HR"/>
        </w:rPr>
        <w:t>0</w:t>
      </w:r>
      <w:r w:rsidRPr="007934A0">
        <w:rPr>
          <w:rFonts w:ascii="Times New Roman" w:hAnsi="Times New Roman"/>
          <w:sz w:val="24"/>
          <w:szCs w:val="24"/>
          <w:lang w:val="hr-HR"/>
        </w:rPr>
        <w:t xml:space="preserve">. </w:t>
      </w:r>
      <w:proofErr w:type="spellStart"/>
      <w:r w:rsidR="00B8467B">
        <w:rPr>
          <w:rFonts w:ascii="Times New Roman" w:hAnsi="Times New Roman"/>
          <w:sz w:val="24"/>
          <w:szCs w:val="24"/>
          <w:lang w:val="hr-HR"/>
        </w:rPr>
        <w:t>lipnja</w:t>
      </w:r>
      <w:r w:rsidR="00824C7D" w:rsidRPr="007934A0">
        <w:rPr>
          <w:rFonts w:ascii="Times New Roman" w:hAnsi="Times New Roman"/>
          <w:sz w:val="24"/>
          <w:szCs w:val="24"/>
          <w:lang w:val="hr-HR"/>
        </w:rPr>
        <w:t>prosinca</w:t>
      </w:r>
      <w:proofErr w:type="spellEnd"/>
      <w:r w:rsidRPr="007934A0">
        <w:rPr>
          <w:rFonts w:ascii="Times New Roman" w:hAnsi="Times New Roman"/>
          <w:sz w:val="24"/>
          <w:szCs w:val="24"/>
          <w:lang w:val="hr-HR"/>
        </w:rPr>
        <w:t xml:space="preserve"> 202</w:t>
      </w:r>
      <w:r w:rsidR="00B8467B">
        <w:rPr>
          <w:rFonts w:ascii="Times New Roman" w:hAnsi="Times New Roman"/>
          <w:sz w:val="24"/>
          <w:szCs w:val="24"/>
          <w:lang w:val="hr-HR"/>
        </w:rPr>
        <w:t>2</w:t>
      </w:r>
      <w:r w:rsidRPr="007934A0">
        <w:rPr>
          <w:rFonts w:ascii="Times New Roman" w:hAnsi="Times New Roman"/>
          <w:sz w:val="24"/>
          <w:szCs w:val="24"/>
          <w:lang w:val="hr-HR"/>
        </w:rPr>
        <w:t>. - ukupni iznos zajm</w:t>
      </w:r>
      <w:r w:rsidR="00454E8D" w:rsidRPr="007934A0">
        <w:rPr>
          <w:rFonts w:ascii="Times New Roman" w:hAnsi="Times New Roman"/>
          <w:sz w:val="24"/>
          <w:szCs w:val="24"/>
          <w:lang w:val="hr-HR"/>
        </w:rPr>
        <w:t>ova</w:t>
      </w:r>
      <w:r w:rsidRPr="007934A0">
        <w:rPr>
          <w:rFonts w:ascii="Times New Roman" w:hAnsi="Times New Roman"/>
          <w:sz w:val="24"/>
          <w:szCs w:val="24"/>
          <w:lang w:val="hr-HR"/>
        </w:rPr>
        <w:t xml:space="preserve"> </w:t>
      </w:r>
      <w:r w:rsidRPr="0089172D">
        <w:rPr>
          <w:rFonts w:ascii="Times New Roman" w:hAnsi="Times New Roman"/>
          <w:sz w:val="24"/>
          <w:szCs w:val="24"/>
          <w:lang w:val="hr-HR"/>
        </w:rPr>
        <w:t xml:space="preserve">po korisniku ne smije prijeći: </w:t>
      </w:r>
    </w:p>
    <w:p w14:paraId="0B21D529" w14:textId="77777777" w:rsidR="001D3C02" w:rsidRPr="0089172D" w:rsidRDefault="001D3C02" w:rsidP="001D3C02">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w:t>
      </w:r>
      <w:r>
        <w:rPr>
          <w:rFonts w:ascii="Times New Roman" w:hAnsi="Times New Roman"/>
          <w:sz w:val="24"/>
          <w:szCs w:val="24"/>
          <w:lang w:val="hr-HR"/>
        </w:rPr>
        <w:tab/>
      </w:r>
      <w:r w:rsidRPr="0089172D">
        <w:rPr>
          <w:rFonts w:ascii="Times New Roman" w:hAnsi="Times New Roman"/>
          <w:sz w:val="24"/>
          <w:szCs w:val="24"/>
          <w:lang w:val="hr-HR"/>
        </w:rPr>
        <w:t xml:space="preserve">dvostruke godišnje rashode korisnika za plaće zaposlenika (uključujući doprinose za socijalno osiguranje i trošak osoblja zaposlenog na lokaciji poduzetnika, ali formalno na platnoj listi </w:t>
      </w:r>
      <w:proofErr w:type="spellStart"/>
      <w:r w:rsidRPr="0089172D">
        <w:rPr>
          <w:rFonts w:ascii="Times New Roman" w:hAnsi="Times New Roman"/>
          <w:sz w:val="24"/>
          <w:szCs w:val="24"/>
          <w:lang w:val="hr-HR"/>
        </w:rPr>
        <w:t>podugovaratelja</w:t>
      </w:r>
      <w:proofErr w:type="spellEnd"/>
      <w:r w:rsidRPr="0089172D">
        <w:rPr>
          <w:rFonts w:ascii="Times New Roman" w:hAnsi="Times New Roman"/>
          <w:sz w:val="24"/>
          <w:szCs w:val="24"/>
          <w:lang w:val="hr-HR"/>
        </w:rPr>
        <w:t>) za 2019. ili za zadnju dostupnu godinu. U slučaju poduzetnika osnovanih 1. siječnja 2019. ili nakon tog datuma, najviši iznos zajma ne smije biti veći od procijenjenih godišnjih rashoda za plaće za prve dvije godine poslovanja ili</w:t>
      </w:r>
    </w:p>
    <w:p w14:paraId="2BFB2BE2" w14:textId="77777777" w:rsidR="001D3C02" w:rsidRPr="0089172D" w:rsidRDefault="001D3C02" w:rsidP="001D3C02">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Pr>
          <w:rFonts w:ascii="Times New Roman" w:hAnsi="Times New Roman"/>
          <w:sz w:val="24"/>
          <w:szCs w:val="24"/>
          <w:lang w:val="hr-HR"/>
        </w:rPr>
        <w:tab/>
      </w:r>
      <w:r w:rsidRPr="0089172D">
        <w:rPr>
          <w:rFonts w:ascii="Times New Roman" w:hAnsi="Times New Roman"/>
          <w:sz w:val="24"/>
          <w:szCs w:val="24"/>
          <w:lang w:val="hr-HR"/>
        </w:rPr>
        <w:t>25% ukupnog prometa korisnika u 2019.</w:t>
      </w:r>
    </w:p>
    <w:p w14:paraId="5DCF5A76" w14:textId="77777777" w:rsidR="001D3C02" w:rsidRPr="0089172D"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lastRenderedPageBreak/>
        <w:t>4)</w:t>
      </w:r>
      <w:r>
        <w:rPr>
          <w:rFonts w:ascii="Times New Roman" w:hAnsi="Times New Roman"/>
          <w:sz w:val="24"/>
          <w:szCs w:val="24"/>
          <w:lang w:val="hr-HR"/>
        </w:rPr>
        <w:tab/>
      </w:r>
      <w:r w:rsidRPr="0089172D">
        <w:rPr>
          <w:rFonts w:ascii="Times New Roman" w:hAnsi="Times New Roman"/>
          <w:sz w:val="24"/>
          <w:szCs w:val="24"/>
          <w:lang w:val="hr-HR"/>
        </w:rPr>
        <w:t>trajanje jamstva na zajmove ograničeno je na najviše 6 godina, i državno jamstvo ne prelazi:</w:t>
      </w:r>
    </w:p>
    <w:p w14:paraId="76CE4724" w14:textId="666ADFB0" w:rsidR="001D3C02" w:rsidRPr="0089172D" w:rsidRDefault="001D3C02" w:rsidP="001D3C02">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w:t>
      </w:r>
      <w:r>
        <w:rPr>
          <w:rFonts w:ascii="Times New Roman" w:hAnsi="Times New Roman"/>
          <w:sz w:val="24"/>
          <w:szCs w:val="24"/>
          <w:lang w:val="hr-HR"/>
        </w:rPr>
        <w:tab/>
      </w:r>
      <w:r w:rsidR="007934A0" w:rsidRPr="007934A0">
        <w:rPr>
          <w:rFonts w:ascii="Times New Roman" w:hAnsi="Times New Roman"/>
          <w:sz w:val="24"/>
          <w:szCs w:val="24"/>
          <w:lang w:val="hr-HR"/>
        </w:rPr>
        <w:t>10</w:t>
      </w:r>
      <w:r w:rsidRPr="007934A0">
        <w:rPr>
          <w:rFonts w:ascii="Times New Roman" w:hAnsi="Times New Roman"/>
          <w:sz w:val="24"/>
          <w:szCs w:val="24"/>
          <w:lang w:val="hr-HR"/>
        </w:rPr>
        <w:t xml:space="preserve">0% glavnice </w:t>
      </w:r>
      <w:r w:rsidRPr="0089172D">
        <w:rPr>
          <w:rFonts w:ascii="Times New Roman" w:hAnsi="Times New Roman"/>
          <w:sz w:val="24"/>
          <w:szCs w:val="24"/>
          <w:lang w:val="hr-HR"/>
        </w:rPr>
        <w:t>pojedinačnog zajma ako gubitke proporcionalno i pod istim uvjetima snose kreditna institucija i HBOR/HAMAG-BICRO ili</w:t>
      </w:r>
    </w:p>
    <w:p w14:paraId="48BCCACB" w14:textId="77777777" w:rsidR="001D3C02" w:rsidRPr="0089172D" w:rsidRDefault="001D3C02" w:rsidP="001D3C02">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Pr>
          <w:rFonts w:ascii="Times New Roman" w:hAnsi="Times New Roman"/>
          <w:sz w:val="24"/>
          <w:szCs w:val="24"/>
          <w:lang w:val="hr-HR"/>
        </w:rPr>
        <w:tab/>
      </w:r>
      <w:r w:rsidRPr="0089172D">
        <w:rPr>
          <w:rFonts w:ascii="Times New Roman" w:hAnsi="Times New Roman"/>
          <w:sz w:val="24"/>
          <w:szCs w:val="24"/>
          <w:lang w:val="hr-HR"/>
        </w:rPr>
        <w:t>35% glavnice pojedinačnog zajma ako se gubici najprije pripisuju HBOR-u/HAMAG-BICRO-u i tek poslije kreditnoj instituciji (tj. jamstvo za prvi gubitak);</w:t>
      </w:r>
    </w:p>
    <w:p w14:paraId="0DBCB6B9" w14:textId="77777777" w:rsidR="001D3C02" w:rsidRPr="0089172D" w:rsidRDefault="001D3C02" w:rsidP="001D3C02">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iii.</w:t>
      </w:r>
      <w:r>
        <w:rPr>
          <w:rFonts w:ascii="Times New Roman" w:hAnsi="Times New Roman"/>
          <w:sz w:val="24"/>
          <w:szCs w:val="24"/>
          <w:lang w:val="hr-HR"/>
        </w:rPr>
        <w:tab/>
      </w:r>
      <w:r w:rsidRPr="0089172D">
        <w:rPr>
          <w:rFonts w:ascii="Times New Roman" w:hAnsi="Times New Roman"/>
          <w:sz w:val="24"/>
          <w:szCs w:val="24"/>
          <w:lang w:val="hr-HR"/>
        </w:rPr>
        <w:t xml:space="preserve">u oba navedena slučaja, ako se iznos zajma s vremenom smanjuje npr. jer je započela otplata zajma, zajamčeni iznos proporcionalno se mora smanjivati. </w:t>
      </w:r>
    </w:p>
    <w:p w14:paraId="1BBA9D0B" w14:textId="77777777" w:rsidR="001D3C02" w:rsidRDefault="001D3C02" w:rsidP="001D3C02">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5)</w:t>
      </w:r>
      <w:r>
        <w:rPr>
          <w:rFonts w:ascii="Times New Roman" w:hAnsi="Times New Roman"/>
          <w:sz w:val="24"/>
          <w:szCs w:val="24"/>
          <w:lang w:val="hr-HR"/>
        </w:rPr>
        <w:tab/>
      </w:r>
      <w:r w:rsidRPr="0089172D">
        <w:rPr>
          <w:rFonts w:ascii="Times New Roman" w:hAnsi="Times New Roman"/>
          <w:sz w:val="24"/>
          <w:szCs w:val="24"/>
          <w:lang w:val="hr-HR"/>
        </w:rPr>
        <w:t xml:space="preserve">jamstvo se ne može dodijeliti poduzetnicima koji su već bili u teškoćama u smislu definicije poduzetnika u teškoćama iz točke VII. </w:t>
      </w:r>
      <w:proofErr w:type="spellStart"/>
      <w:r w:rsidRPr="0089172D">
        <w:rPr>
          <w:rFonts w:ascii="Times New Roman" w:hAnsi="Times New Roman"/>
          <w:sz w:val="24"/>
          <w:szCs w:val="24"/>
          <w:lang w:val="hr-HR"/>
        </w:rPr>
        <w:t>podtočke</w:t>
      </w:r>
      <w:proofErr w:type="spellEnd"/>
      <w:r w:rsidRPr="0089172D">
        <w:rPr>
          <w:rFonts w:ascii="Times New Roman" w:hAnsi="Times New Roman"/>
          <w:sz w:val="24"/>
          <w:szCs w:val="24"/>
          <w:lang w:val="hr-HR"/>
        </w:rPr>
        <w:t xml:space="preserve"> 10) ovog Programa odnosno članka </w:t>
      </w:r>
      <w:r w:rsidRPr="0089172D">
        <w:rPr>
          <w:rFonts w:ascii="Times New Roman" w:hAnsi="Times New Roman"/>
          <w:bCs/>
          <w:sz w:val="24"/>
          <w:szCs w:val="24"/>
          <w:lang w:val="hr-HR"/>
        </w:rPr>
        <w:t xml:space="preserve">2. točke 18. Uredbe </w:t>
      </w:r>
      <w:r w:rsidRPr="0089172D">
        <w:rPr>
          <w:rFonts w:ascii="Times New Roman" w:hAnsi="Times New Roman"/>
          <w:sz w:val="24"/>
          <w:szCs w:val="24"/>
          <w:lang w:val="hr-HR"/>
        </w:rPr>
        <w:t>Komisije br. 651/2014) na dan 31. prosinca 2019.</w:t>
      </w:r>
      <w:r>
        <w:rPr>
          <w:rFonts w:ascii="Times New Roman" w:hAnsi="Times New Roman"/>
          <w:sz w:val="24"/>
          <w:szCs w:val="24"/>
          <w:lang w:val="hr-HR"/>
        </w:rPr>
        <w:t>,</w:t>
      </w:r>
      <w:r w:rsidRPr="00693C18">
        <w:rPr>
          <w:rFonts w:ascii="Times New Roman" w:hAnsi="Times New Roman"/>
          <w:sz w:val="24"/>
          <w:szCs w:val="24"/>
          <w:lang w:val="hr-HR"/>
        </w:rPr>
        <w:t xml:space="preserve"> uz iznimku mikro i malih poduzetnika prema uvjetima iz točke IV. ovog Programa.</w:t>
      </w:r>
    </w:p>
    <w:p w14:paraId="7480C54F" w14:textId="60553D9E" w:rsidR="001D3C02" w:rsidRPr="00CB0F58" w:rsidRDefault="00DA3596" w:rsidP="00966897">
      <w:pPr>
        <w:pStyle w:val="ListParagraph3"/>
        <w:spacing w:after="240" w:line="360" w:lineRule="auto"/>
        <w:ind w:left="0"/>
        <w:contextualSpacing w:val="0"/>
        <w:jc w:val="center"/>
        <w:rPr>
          <w:rFonts w:ascii="Times New Roman" w:hAnsi="Times New Roman"/>
          <w:b/>
          <w:sz w:val="24"/>
        </w:rPr>
      </w:pPr>
      <w:r w:rsidRPr="00CB0F58">
        <w:rPr>
          <w:rFonts w:ascii="Times New Roman" w:hAnsi="Times New Roman"/>
          <w:b/>
          <w:sz w:val="24"/>
        </w:rPr>
        <w:t>X.</w:t>
      </w:r>
    </w:p>
    <w:p w14:paraId="0B1E650F" w14:textId="77777777" w:rsidR="001D3C02" w:rsidRPr="0089172D" w:rsidRDefault="001D3C02" w:rsidP="001D3C02">
      <w:pPr>
        <w:pStyle w:val="ListParagraph3"/>
        <w:spacing w:after="240" w:line="360" w:lineRule="auto"/>
        <w:ind w:left="0"/>
        <w:contextualSpacing w:val="0"/>
        <w:jc w:val="center"/>
        <w:rPr>
          <w:rFonts w:ascii="Times New Roman" w:hAnsi="Times New Roman"/>
          <w:b/>
          <w:bCs/>
          <w:sz w:val="24"/>
          <w:szCs w:val="24"/>
          <w:lang w:val="hr-HR"/>
        </w:rPr>
      </w:pPr>
      <w:r w:rsidRPr="0089172D">
        <w:rPr>
          <w:rFonts w:ascii="Times New Roman" w:hAnsi="Times New Roman"/>
          <w:b/>
          <w:bCs/>
          <w:sz w:val="24"/>
          <w:szCs w:val="24"/>
          <w:lang w:val="hr-HR"/>
        </w:rPr>
        <w:t>Zbrajanje (kumulacija) potpora</w:t>
      </w:r>
    </w:p>
    <w:p w14:paraId="28179F95"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Privremene mjere iz ovog Programa primjenjuju se neovisno o tome financira li se  potpora u cijelosti ili djelomično državnim sredstvima Republike Hrvatske ili i iz sredstava europskih strukturnih, investicijskih i drugih fondova.</w:t>
      </w:r>
    </w:p>
    <w:p w14:paraId="0FC16B79" w14:textId="7D77E824" w:rsidR="001D3C02"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bCs/>
          <w:sz w:val="24"/>
          <w:szCs w:val="24"/>
        </w:rPr>
        <w:t xml:space="preserve">Privremene mjere potpore obuhvaćene ovim Programom mogu se zbrajati s potporama obuhvaćenim Privremenim okvirom – COVID 19 u skladu s odredbama u posebnim odjeljcima Privremenog okvira. Privremene mjere potpore obuhvaćene ovim Programom mogu se zbrajati s potporom na temelju uredbi o </w:t>
      </w:r>
      <w:r w:rsidRPr="0089172D">
        <w:rPr>
          <w:rFonts w:ascii="Times New Roman" w:hAnsi="Times New Roman" w:cs="Times New Roman"/>
          <w:bCs/>
          <w:i/>
          <w:sz w:val="24"/>
          <w:szCs w:val="24"/>
        </w:rPr>
        <w:t xml:space="preserve">de </w:t>
      </w:r>
      <w:proofErr w:type="spellStart"/>
      <w:r w:rsidRPr="0089172D">
        <w:rPr>
          <w:rFonts w:ascii="Times New Roman" w:hAnsi="Times New Roman" w:cs="Times New Roman"/>
          <w:bCs/>
          <w:i/>
          <w:sz w:val="24"/>
          <w:szCs w:val="24"/>
        </w:rPr>
        <w:t>minimis</w:t>
      </w:r>
      <w:proofErr w:type="spellEnd"/>
      <w:r w:rsidRPr="0089172D">
        <w:rPr>
          <w:rFonts w:ascii="Times New Roman" w:hAnsi="Times New Roman" w:cs="Times New Roman"/>
          <w:bCs/>
          <w:sz w:val="24"/>
          <w:szCs w:val="24"/>
        </w:rPr>
        <w:t xml:space="preserve"> potporama</w:t>
      </w:r>
      <w:r w:rsidRPr="0089172D">
        <w:rPr>
          <w:rStyle w:val="FootnoteReference"/>
          <w:rFonts w:ascii="Times New Roman" w:hAnsi="Times New Roman" w:cs="Times New Roman"/>
          <w:bCs/>
          <w:sz w:val="24"/>
          <w:szCs w:val="24"/>
        </w:rPr>
        <w:footnoteReference w:id="14"/>
      </w:r>
      <w:r w:rsidR="002E63F0">
        <w:rPr>
          <w:rFonts w:ascii="Times New Roman" w:hAnsi="Times New Roman" w:cs="Times New Roman"/>
          <w:bCs/>
          <w:sz w:val="24"/>
          <w:szCs w:val="24"/>
        </w:rPr>
        <w:t xml:space="preserve"> </w:t>
      </w:r>
      <w:r w:rsidRPr="0089172D">
        <w:rPr>
          <w:rFonts w:ascii="Times New Roman" w:hAnsi="Times New Roman" w:cs="Times New Roman"/>
          <w:bCs/>
          <w:sz w:val="24"/>
          <w:szCs w:val="24"/>
        </w:rPr>
        <w:t>ili s potporama na temelju uredbi o skupnom izuzeću</w:t>
      </w:r>
      <w:r w:rsidRPr="0089172D">
        <w:rPr>
          <w:rStyle w:val="FootnoteReference"/>
          <w:rFonts w:ascii="Times New Roman" w:hAnsi="Times New Roman" w:cs="Times New Roman"/>
          <w:bCs/>
          <w:sz w:val="24"/>
          <w:szCs w:val="24"/>
        </w:rPr>
        <w:footnoteReference w:id="15"/>
      </w:r>
      <w:r w:rsidRPr="0089172D">
        <w:rPr>
          <w:rFonts w:ascii="Times New Roman" w:hAnsi="Times New Roman" w:cs="Times New Roman"/>
          <w:bCs/>
          <w:sz w:val="24"/>
          <w:szCs w:val="24"/>
        </w:rPr>
        <w:t xml:space="preserve"> ako se poštuju odredbe i pravila o zbrajanju iz tih uredbi.</w:t>
      </w:r>
    </w:p>
    <w:p w14:paraId="0A44B2CA"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lastRenderedPageBreak/>
        <w:t>Potpora dodijeljena u skladu s točkom IX. ovog Programa tj. u skladu s odjeljkom 3.2. Privremenog okvira – COVID 19 ne zbraja se s potporom dodijeljenom za glavnicu istog temeljnog zajma u skladu s odjeljkom 3.3. Privremenog okvira – COVID 19 i obrnuto.</w:t>
      </w:r>
    </w:p>
    <w:p w14:paraId="088B9AD8" w14:textId="77777777" w:rsidR="001D3C02" w:rsidRPr="0089172D" w:rsidRDefault="001D3C02" w:rsidP="001D3C02">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 xml:space="preserve">Potpore dodijeljene u skladu s odjeljcima 3.2. i 3.3. Privremenog okvira – COVID 19 mogu se zbrajati za različite zajmove ako ukupni iznos zajmova po korisniku ne prelazi gornje granice utvrđene u točki 25. </w:t>
      </w:r>
      <w:proofErr w:type="spellStart"/>
      <w:r w:rsidRPr="0089172D">
        <w:rPr>
          <w:rFonts w:ascii="Times New Roman" w:hAnsi="Times New Roman" w:cs="Times New Roman"/>
          <w:sz w:val="24"/>
          <w:szCs w:val="24"/>
        </w:rPr>
        <w:t>podtočki</w:t>
      </w:r>
      <w:proofErr w:type="spellEnd"/>
      <w:r w:rsidRPr="0089172D">
        <w:rPr>
          <w:rFonts w:ascii="Times New Roman" w:hAnsi="Times New Roman" w:cs="Times New Roman"/>
          <w:sz w:val="24"/>
          <w:szCs w:val="24"/>
        </w:rPr>
        <w:t xml:space="preserve"> (d) ili u točki 27. </w:t>
      </w:r>
      <w:proofErr w:type="spellStart"/>
      <w:r w:rsidRPr="0089172D">
        <w:rPr>
          <w:rFonts w:ascii="Times New Roman" w:hAnsi="Times New Roman" w:cs="Times New Roman"/>
          <w:sz w:val="24"/>
          <w:szCs w:val="24"/>
        </w:rPr>
        <w:t>podtočki</w:t>
      </w:r>
      <w:proofErr w:type="spellEnd"/>
      <w:r w:rsidRPr="0089172D">
        <w:rPr>
          <w:rFonts w:ascii="Times New Roman" w:hAnsi="Times New Roman" w:cs="Times New Roman"/>
          <w:sz w:val="24"/>
          <w:szCs w:val="24"/>
        </w:rPr>
        <w:t xml:space="preserve"> (d).</w:t>
      </w:r>
    </w:p>
    <w:p w14:paraId="45082B8F" w14:textId="77777777" w:rsidR="00937B1E" w:rsidRDefault="001D3C02" w:rsidP="001D3C02">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Korisnik može istodobno koristiti više mjera iz odjeljka 3.2. ako ukupni iznos zajmova po korisniku ne prelazi gornje granice utvrđene u točki 25. </w:t>
      </w:r>
      <w:proofErr w:type="spellStart"/>
      <w:r w:rsidRPr="0089172D">
        <w:rPr>
          <w:rFonts w:ascii="Times New Roman" w:hAnsi="Times New Roman" w:cs="Times New Roman"/>
          <w:sz w:val="24"/>
          <w:szCs w:val="24"/>
        </w:rPr>
        <w:t>podtočki</w:t>
      </w:r>
      <w:proofErr w:type="spellEnd"/>
      <w:r w:rsidRPr="0089172D">
        <w:rPr>
          <w:rFonts w:ascii="Times New Roman" w:hAnsi="Times New Roman" w:cs="Times New Roman"/>
          <w:sz w:val="24"/>
          <w:szCs w:val="24"/>
        </w:rPr>
        <w:t xml:space="preserve"> (d).</w:t>
      </w:r>
    </w:p>
    <w:p w14:paraId="6EC0116E" w14:textId="21FAD669" w:rsidR="001D3C02" w:rsidRDefault="001D3C02" w:rsidP="001D3C02">
      <w:pPr>
        <w:spacing w:after="240" w:line="360" w:lineRule="auto"/>
        <w:jc w:val="both"/>
        <w:rPr>
          <w:rFonts w:ascii="Times New Roman" w:hAnsi="Times New Roman" w:cs="Times New Roman"/>
          <w:sz w:val="24"/>
          <w:szCs w:val="24"/>
        </w:rPr>
      </w:pPr>
    </w:p>
    <w:p w14:paraId="5969954E" w14:textId="77777777" w:rsidR="001D3C02" w:rsidRPr="0089172D" w:rsidRDefault="001D3C02" w:rsidP="001D3C02">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POGLAVLJE III.</w:t>
      </w:r>
    </w:p>
    <w:p w14:paraId="4291C45A" w14:textId="77777777" w:rsidR="001D3C02" w:rsidRPr="0089172D" w:rsidRDefault="001D3C02" w:rsidP="001D3C02">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Prijelazne i završne odredbe</w:t>
      </w:r>
    </w:p>
    <w:p w14:paraId="6D268390" w14:textId="170EE237" w:rsidR="001D3C02" w:rsidRPr="0089172D" w:rsidRDefault="001D3C02" w:rsidP="001D3C02">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X</w:t>
      </w:r>
      <w:bookmarkStart w:id="1" w:name="_GoBack"/>
      <w:bookmarkEnd w:id="1"/>
      <w:r w:rsidR="00411776">
        <w:rPr>
          <w:rFonts w:ascii="Times New Roman" w:hAnsi="Times New Roman"/>
          <w:b/>
          <w:sz w:val="24"/>
          <w:szCs w:val="24"/>
          <w:lang w:val="hr-HR"/>
        </w:rPr>
        <w:t>I</w:t>
      </w:r>
      <w:r w:rsidRPr="0089172D">
        <w:rPr>
          <w:rFonts w:ascii="Times New Roman" w:hAnsi="Times New Roman"/>
          <w:b/>
          <w:sz w:val="24"/>
          <w:szCs w:val="24"/>
          <w:lang w:val="hr-HR"/>
        </w:rPr>
        <w:t>.</w:t>
      </w:r>
    </w:p>
    <w:p w14:paraId="79922777" w14:textId="77777777" w:rsidR="001D3C02" w:rsidRPr="0089172D" w:rsidRDefault="001D3C02" w:rsidP="001D3C02">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Nadzor i izvještavanje</w:t>
      </w:r>
    </w:p>
    <w:p w14:paraId="7700FFAE" w14:textId="6AFE674A" w:rsidR="001D3C02" w:rsidRPr="0089172D" w:rsidRDefault="002E63F0" w:rsidP="001D3C02">
      <w:pPr>
        <w:pStyle w:val="ListParagraph3"/>
        <w:spacing w:after="240" w:line="360" w:lineRule="auto"/>
        <w:ind w:left="0"/>
        <w:contextualSpacing w:val="0"/>
        <w:jc w:val="both"/>
        <w:rPr>
          <w:rFonts w:ascii="Times New Roman" w:hAnsi="Times New Roman"/>
          <w:b/>
          <w:i/>
          <w:sz w:val="24"/>
          <w:szCs w:val="24"/>
          <w:lang w:val="hr-HR"/>
        </w:rPr>
      </w:pPr>
      <w:r>
        <w:rPr>
          <w:rFonts w:ascii="Times New Roman" w:hAnsi="Times New Roman"/>
          <w:sz w:val="24"/>
          <w:szCs w:val="24"/>
          <w:lang w:val="hr-HR"/>
        </w:rPr>
        <w:t xml:space="preserve">Uz iznimku potpore dodijeljene u skladu s odjeljkom 3.11. </w:t>
      </w:r>
      <w:r w:rsidR="001D3C02" w:rsidRPr="0089172D">
        <w:rPr>
          <w:rFonts w:ascii="Times New Roman" w:hAnsi="Times New Roman"/>
          <w:sz w:val="24"/>
          <w:szCs w:val="24"/>
          <w:lang w:val="hr-HR"/>
        </w:rPr>
        <w:t xml:space="preserve">MMPI </w:t>
      </w:r>
      <w:r>
        <w:rPr>
          <w:rFonts w:ascii="Times New Roman" w:hAnsi="Times New Roman"/>
          <w:sz w:val="24"/>
          <w:szCs w:val="24"/>
          <w:lang w:val="hr-HR"/>
        </w:rPr>
        <w:t xml:space="preserve">će </w:t>
      </w:r>
      <w:r w:rsidR="001D3C02" w:rsidRPr="0089172D">
        <w:rPr>
          <w:rFonts w:ascii="Times New Roman" w:hAnsi="Times New Roman"/>
          <w:sz w:val="24"/>
          <w:szCs w:val="24"/>
          <w:lang w:val="hr-HR"/>
        </w:rPr>
        <w:t>objav</w:t>
      </w:r>
      <w:r>
        <w:rPr>
          <w:rFonts w:ascii="Times New Roman" w:hAnsi="Times New Roman"/>
          <w:sz w:val="24"/>
          <w:szCs w:val="24"/>
          <w:lang w:val="hr-HR"/>
        </w:rPr>
        <w:t>iti</w:t>
      </w:r>
      <w:r w:rsidR="001D3C02" w:rsidRPr="0089172D">
        <w:rPr>
          <w:rFonts w:ascii="Times New Roman" w:hAnsi="Times New Roman"/>
          <w:sz w:val="24"/>
          <w:szCs w:val="24"/>
          <w:lang w:val="hr-HR"/>
        </w:rPr>
        <w:t xml:space="preserve"> relevantn</w:t>
      </w:r>
      <w:r>
        <w:rPr>
          <w:rFonts w:ascii="Times New Roman" w:hAnsi="Times New Roman"/>
          <w:sz w:val="24"/>
          <w:szCs w:val="24"/>
          <w:lang w:val="hr-HR"/>
        </w:rPr>
        <w:t xml:space="preserve">e </w:t>
      </w:r>
      <w:r w:rsidR="001D3C02" w:rsidRPr="0089172D">
        <w:rPr>
          <w:rFonts w:ascii="Times New Roman" w:hAnsi="Times New Roman"/>
          <w:sz w:val="24"/>
          <w:szCs w:val="24"/>
          <w:lang w:val="hr-HR"/>
        </w:rPr>
        <w:t>informacij</w:t>
      </w:r>
      <w:r>
        <w:rPr>
          <w:rFonts w:ascii="Times New Roman" w:hAnsi="Times New Roman"/>
          <w:sz w:val="24"/>
          <w:szCs w:val="24"/>
          <w:lang w:val="hr-HR"/>
        </w:rPr>
        <w:t>e</w:t>
      </w:r>
      <w:r w:rsidR="0043072F">
        <w:rPr>
          <w:rFonts w:ascii="Times New Roman" w:hAnsi="Times New Roman"/>
          <w:sz w:val="24"/>
          <w:szCs w:val="24"/>
          <w:lang w:val="hr-HR"/>
        </w:rPr>
        <w:t xml:space="preserve"> o svakoj pojedinačnoj potpori većoj od 100 000 EUR</w:t>
      </w:r>
      <w:r w:rsidR="001D3C02" w:rsidRPr="0089172D">
        <w:rPr>
          <w:rStyle w:val="FootnoteReference"/>
          <w:rFonts w:ascii="Times New Roman" w:hAnsi="Times New Roman"/>
          <w:sz w:val="24"/>
          <w:szCs w:val="24"/>
        </w:rPr>
        <w:footnoteReference w:id="16"/>
      </w:r>
      <w:r w:rsidR="0043072F">
        <w:rPr>
          <w:rFonts w:ascii="Times New Roman" w:hAnsi="Times New Roman"/>
          <w:sz w:val="24"/>
          <w:szCs w:val="24"/>
          <w:lang w:val="hr-HR"/>
        </w:rPr>
        <w:t xml:space="preserve"> dodijeljeno</w:t>
      </w:r>
      <w:r w:rsidR="00D27DE5">
        <w:rPr>
          <w:rFonts w:ascii="Times New Roman" w:hAnsi="Times New Roman"/>
          <w:sz w:val="24"/>
          <w:szCs w:val="24"/>
          <w:lang w:val="hr-HR"/>
        </w:rPr>
        <w:t>j</w:t>
      </w:r>
      <w:r w:rsidR="0043072F">
        <w:rPr>
          <w:rFonts w:ascii="Times New Roman" w:hAnsi="Times New Roman"/>
          <w:sz w:val="24"/>
          <w:szCs w:val="24"/>
          <w:lang w:val="hr-HR"/>
        </w:rPr>
        <w:t xml:space="preserve"> u skladu s ovim Programom i Privremenim okvirom – COVID 19</w:t>
      </w:r>
      <w:r w:rsidR="001D3C02" w:rsidRPr="0089172D">
        <w:rPr>
          <w:rFonts w:ascii="Times New Roman" w:hAnsi="Times New Roman"/>
          <w:sz w:val="24"/>
          <w:szCs w:val="24"/>
          <w:lang w:val="hr-HR"/>
        </w:rPr>
        <w:t xml:space="preserve"> na </w:t>
      </w:r>
      <w:r w:rsidR="0043072F">
        <w:rPr>
          <w:rFonts w:ascii="Times New Roman" w:hAnsi="Times New Roman"/>
          <w:sz w:val="24"/>
          <w:szCs w:val="24"/>
          <w:lang w:val="hr-HR"/>
        </w:rPr>
        <w:t xml:space="preserve">internetskim stranicama o državnim potporama ili s </w:t>
      </w:r>
      <w:r w:rsidR="001D3C02" w:rsidRPr="0089172D">
        <w:rPr>
          <w:rFonts w:ascii="Times New Roman" w:hAnsi="Times New Roman"/>
          <w:sz w:val="24"/>
          <w:szCs w:val="24"/>
          <w:lang w:val="hr-HR"/>
        </w:rPr>
        <w:t>pomoću IT alata Komisije</w:t>
      </w:r>
      <w:r w:rsidR="001D3C02" w:rsidRPr="0089172D">
        <w:rPr>
          <w:rStyle w:val="FootnoteReference"/>
          <w:rFonts w:ascii="Times New Roman" w:hAnsi="Times New Roman"/>
          <w:sz w:val="24"/>
          <w:szCs w:val="24"/>
        </w:rPr>
        <w:footnoteReference w:id="17"/>
      </w:r>
      <w:r w:rsidR="001D3C02" w:rsidRPr="0089172D">
        <w:rPr>
          <w:rFonts w:ascii="Times New Roman" w:hAnsi="Times New Roman"/>
          <w:sz w:val="24"/>
          <w:szCs w:val="24"/>
          <w:lang w:val="hr-HR"/>
        </w:rPr>
        <w:t xml:space="preserve"> u roku od 12 mjeseci od trenutka dodjele.</w:t>
      </w:r>
      <w:r w:rsidR="0043072F">
        <w:rPr>
          <w:rFonts w:ascii="Times New Roman" w:hAnsi="Times New Roman"/>
          <w:sz w:val="24"/>
          <w:szCs w:val="24"/>
          <w:lang w:val="hr-HR"/>
        </w:rPr>
        <w:t xml:space="preserve"> </w:t>
      </w:r>
    </w:p>
    <w:p w14:paraId="7C5DB55C" w14:textId="77777777" w:rsidR="001D3C02" w:rsidRPr="0089172D" w:rsidRDefault="001D3C02" w:rsidP="001D3C02">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lastRenderedPageBreak/>
        <w:t>Godišnja izvješća o dodijeljenim potporama dostavljat će se Komisiji u skladu s Uredbom Komisije (EU) broj 794/2004 od 21. travnja 2004. o primjeni Uredbe Vijeća (EU) broj 659/1999 o pravilima za primjenu članka 93. Ugovora</w:t>
      </w:r>
      <w:r w:rsidRPr="0089172D">
        <w:rPr>
          <w:rStyle w:val="FootnoteReference"/>
          <w:rFonts w:ascii="Times New Roman" w:hAnsi="Times New Roman"/>
          <w:bCs/>
          <w:sz w:val="24"/>
          <w:szCs w:val="24"/>
        </w:rPr>
        <w:footnoteReference w:id="18"/>
      </w:r>
      <w:r w:rsidRPr="0089172D">
        <w:rPr>
          <w:rFonts w:ascii="Times New Roman" w:hAnsi="Times New Roman"/>
          <w:bCs/>
          <w:sz w:val="24"/>
          <w:szCs w:val="24"/>
          <w:lang w:val="hr-HR"/>
        </w:rPr>
        <w:t>.</w:t>
      </w:r>
    </w:p>
    <w:p w14:paraId="0BFF8299" w14:textId="24076C61" w:rsidR="001D3C02" w:rsidRPr="00EC54C6" w:rsidRDefault="001D3C02" w:rsidP="001D3C02">
      <w:pPr>
        <w:pStyle w:val="ListParagraph3"/>
        <w:spacing w:after="240" w:line="360" w:lineRule="auto"/>
        <w:ind w:left="0"/>
        <w:contextualSpacing w:val="0"/>
        <w:jc w:val="both"/>
        <w:rPr>
          <w:rFonts w:ascii="Times New Roman" w:hAnsi="Times New Roman"/>
          <w:bCs/>
          <w:color w:val="FF0000"/>
          <w:sz w:val="24"/>
          <w:szCs w:val="24"/>
          <w:lang w:val="hr-HR"/>
        </w:rPr>
      </w:pPr>
      <w:r w:rsidRPr="0089172D">
        <w:rPr>
          <w:rFonts w:ascii="Times New Roman" w:hAnsi="Times New Roman"/>
          <w:bCs/>
          <w:sz w:val="24"/>
          <w:szCs w:val="24"/>
          <w:lang w:val="hr-HR"/>
        </w:rPr>
        <w:t>MMPI će Ministarstvu financija dostaviti popis mjera uvedenih na temelju ovog Programa odobrenog na temelju Privremenog okvira – COVID 19 radi dostave tog popisa Europsko</w:t>
      </w:r>
      <w:r>
        <w:rPr>
          <w:rFonts w:ascii="Times New Roman" w:hAnsi="Times New Roman"/>
          <w:bCs/>
          <w:sz w:val="24"/>
          <w:szCs w:val="24"/>
          <w:lang w:val="hr-HR"/>
        </w:rPr>
        <w:t xml:space="preserve">j komisiji </w:t>
      </w:r>
      <w:r w:rsidRPr="00F30E0D">
        <w:rPr>
          <w:rFonts w:ascii="Times New Roman" w:hAnsi="Times New Roman"/>
          <w:bCs/>
          <w:sz w:val="24"/>
          <w:szCs w:val="24"/>
          <w:lang w:val="hr-HR"/>
        </w:rPr>
        <w:t xml:space="preserve">do </w:t>
      </w:r>
      <w:r w:rsidR="00824C7D" w:rsidRPr="00F30E0D">
        <w:rPr>
          <w:rFonts w:ascii="Times New Roman" w:hAnsi="Times New Roman"/>
          <w:bCs/>
          <w:sz w:val="24"/>
          <w:szCs w:val="24"/>
          <w:lang w:val="hr-HR"/>
        </w:rPr>
        <w:t>3</w:t>
      </w:r>
      <w:r w:rsidR="00B8467B" w:rsidRPr="00F30E0D">
        <w:rPr>
          <w:rFonts w:ascii="Times New Roman" w:hAnsi="Times New Roman"/>
          <w:bCs/>
          <w:sz w:val="24"/>
          <w:szCs w:val="24"/>
          <w:lang w:val="hr-HR"/>
        </w:rPr>
        <w:t>0</w:t>
      </w:r>
      <w:r w:rsidR="00824C7D" w:rsidRPr="00F30E0D">
        <w:rPr>
          <w:rFonts w:ascii="Times New Roman" w:hAnsi="Times New Roman"/>
          <w:bCs/>
          <w:sz w:val="24"/>
          <w:szCs w:val="24"/>
          <w:lang w:val="hr-HR"/>
        </w:rPr>
        <w:t xml:space="preserve">. </w:t>
      </w:r>
      <w:r w:rsidR="00B8467B" w:rsidRPr="00F30E0D">
        <w:rPr>
          <w:rFonts w:ascii="Times New Roman" w:hAnsi="Times New Roman"/>
          <w:bCs/>
          <w:sz w:val="24"/>
          <w:szCs w:val="24"/>
          <w:lang w:val="hr-HR"/>
        </w:rPr>
        <w:t xml:space="preserve">lipnja </w:t>
      </w:r>
      <w:r w:rsidRPr="00F30E0D">
        <w:rPr>
          <w:rFonts w:ascii="Times New Roman" w:hAnsi="Times New Roman"/>
          <w:bCs/>
          <w:sz w:val="24"/>
          <w:szCs w:val="24"/>
          <w:lang w:val="hr-HR"/>
        </w:rPr>
        <w:t xml:space="preserve"> 202</w:t>
      </w:r>
      <w:r w:rsidR="00B8467B" w:rsidRPr="00F30E0D">
        <w:rPr>
          <w:rFonts w:ascii="Times New Roman" w:hAnsi="Times New Roman"/>
          <w:bCs/>
          <w:sz w:val="24"/>
          <w:szCs w:val="24"/>
          <w:lang w:val="hr-HR"/>
        </w:rPr>
        <w:t>2</w:t>
      </w:r>
      <w:r w:rsidRPr="00F30E0D">
        <w:rPr>
          <w:rFonts w:ascii="Times New Roman" w:hAnsi="Times New Roman"/>
          <w:bCs/>
          <w:sz w:val="24"/>
          <w:szCs w:val="24"/>
          <w:lang w:val="hr-HR"/>
        </w:rPr>
        <w:t>. godine.</w:t>
      </w:r>
    </w:p>
    <w:p w14:paraId="6441D42A" w14:textId="1B31EA5B" w:rsidR="001D3C02" w:rsidRPr="0089172D" w:rsidRDefault="001D3C02" w:rsidP="001D3C02">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 xml:space="preserve">MMPI će osigurati vođenje </w:t>
      </w:r>
      <w:r w:rsidR="0043072F">
        <w:rPr>
          <w:rFonts w:ascii="Times New Roman" w:hAnsi="Times New Roman"/>
          <w:bCs/>
          <w:sz w:val="24"/>
          <w:szCs w:val="24"/>
          <w:lang w:val="hr-HR"/>
        </w:rPr>
        <w:t xml:space="preserve">detaljne </w:t>
      </w:r>
      <w:r w:rsidRPr="0089172D">
        <w:rPr>
          <w:rFonts w:ascii="Times New Roman" w:hAnsi="Times New Roman"/>
          <w:bCs/>
          <w:sz w:val="24"/>
          <w:szCs w:val="24"/>
          <w:lang w:val="hr-HR"/>
        </w:rPr>
        <w:t>evidencije o dodjeli potpora sukladno ovom Programu i Privremenom okviru – COVID 19. Takva evidencija, koja mora sadržavati sve informacije da bi se utvrdilo da su ispunjeni potrebni uvjeti, mora se čuvati 10 godina nakon dodjele potpore i na zahtjev dostaviti Komisiji.</w:t>
      </w:r>
    </w:p>
    <w:p w14:paraId="508A683D" w14:textId="315B9269" w:rsidR="00F00B10" w:rsidRDefault="001D3C02" w:rsidP="00CB0F58">
      <w:pPr>
        <w:pStyle w:val="ListParagraph3"/>
        <w:spacing w:after="240" w:line="360" w:lineRule="auto"/>
        <w:ind w:left="0"/>
        <w:contextualSpacing w:val="0"/>
        <w:jc w:val="both"/>
      </w:pPr>
      <w:r w:rsidRPr="0089172D">
        <w:rPr>
          <w:rFonts w:ascii="Times New Roman" w:hAnsi="Times New Roman"/>
          <w:bCs/>
          <w:sz w:val="24"/>
          <w:szCs w:val="24"/>
          <w:lang w:val="hr-HR"/>
        </w:rPr>
        <w:t>Na njezin zahtjev, MMPI dostavit će Komisiji dodatne informacije o dodijeljenim potporama kako bi ona provjerila jesu li se poštovali uvjeti utvrđeni u odluci Komisije kojom je odobrila potporu</w:t>
      </w:r>
      <w:r w:rsidR="00D12676">
        <w:rPr>
          <w:rFonts w:ascii="Times New Roman" w:hAnsi="Times New Roman"/>
          <w:bCs/>
          <w:sz w:val="24"/>
          <w:szCs w:val="24"/>
          <w:lang w:val="hr-HR"/>
        </w:rPr>
        <w:t>.</w:t>
      </w:r>
    </w:p>
    <w:sectPr w:rsidR="00F00B10" w:rsidSect="008F6EFF">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69C02" w14:textId="77777777" w:rsidR="00896AFB" w:rsidRDefault="00896AFB" w:rsidP="001D3C02">
      <w:pPr>
        <w:spacing w:after="0" w:line="240" w:lineRule="auto"/>
      </w:pPr>
      <w:r>
        <w:separator/>
      </w:r>
    </w:p>
  </w:endnote>
  <w:endnote w:type="continuationSeparator" w:id="0">
    <w:p w14:paraId="5DCBFFAD" w14:textId="77777777" w:rsidR="00896AFB" w:rsidRDefault="00896AFB" w:rsidP="001D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FAD8" w14:textId="77777777" w:rsidR="0043072F" w:rsidRPr="004D7B98" w:rsidRDefault="0043072F">
    <w:pPr>
      <w:pStyle w:val="Footer"/>
      <w:jc w:val="center"/>
      <w:rPr>
        <w:rFonts w:ascii="Times New Roman" w:hAnsi="Times New Roman" w:cs="Times New Roman"/>
        <w:sz w:val="20"/>
        <w:szCs w:val="20"/>
      </w:rPr>
    </w:pPr>
  </w:p>
  <w:p w14:paraId="45C21DB7" w14:textId="77777777" w:rsidR="0043072F" w:rsidRDefault="00430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30A8" w14:textId="77777777" w:rsidR="00896AFB" w:rsidRDefault="00896AFB" w:rsidP="001D3C02">
      <w:pPr>
        <w:spacing w:after="0" w:line="240" w:lineRule="auto"/>
      </w:pPr>
      <w:r>
        <w:separator/>
      </w:r>
    </w:p>
  </w:footnote>
  <w:footnote w:type="continuationSeparator" w:id="0">
    <w:p w14:paraId="7EEEE3D9" w14:textId="77777777" w:rsidR="00896AFB" w:rsidRDefault="00896AFB" w:rsidP="001D3C02">
      <w:pPr>
        <w:spacing w:after="0" w:line="240" w:lineRule="auto"/>
      </w:pPr>
      <w:r>
        <w:continuationSeparator/>
      </w:r>
    </w:p>
  </w:footnote>
  <w:footnote w:id="1">
    <w:p w14:paraId="54574BA9" w14:textId="77777777" w:rsidR="0043072F" w:rsidRPr="006D41EC" w:rsidRDefault="0043072F" w:rsidP="001D3C02">
      <w:pPr>
        <w:pStyle w:val="FootnoteText"/>
        <w:rPr>
          <w:rFonts w:ascii="Times New Roman" w:hAnsi="Times New Roman"/>
          <w:lang w:val="hr-HR"/>
        </w:rPr>
      </w:pPr>
      <w:r w:rsidRPr="006D41EC">
        <w:rPr>
          <w:rStyle w:val="FootnoteReference"/>
          <w:rFonts w:ascii="Times New Roman" w:hAnsi="Times New Roman"/>
        </w:rPr>
        <w:footnoteRef/>
      </w:r>
      <w:r w:rsidRPr="006D41EC">
        <w:rPr>
          <w:rFonts w:ascii="Times New Roman" w:hAnsi="Times New Roman"/>
          <w:lang w:val="hr-HR"/>
        </w:rPr>
        <w:t>NN 47/14 i 69/17</w:t>
      </w:r>
    </w:p>
  </w:footnote>
  <w:footnote w:id="2">
    <w:p w14:paraId="33FE66C4" w14:textId="77777777" w:rsidR="0043072F" w:rsidRPr="00500DAF" w:rsidRDefault="0043072F" w:rsidP="001D3C02">
      <w:pPr>
        <w:pStyle w:val="FootnoteText"/>
        <w:rPr>
          <w:rFonts w:ascii="Times New Roman" w:hAnsi="Times New Roman"/>
          <w:lang w:val="hr-HR"/>
        </w:rPr>
      </w:pPr>
      <w:r w:rsidRPr="00500DAF">
        <w:rPr>
          <w:rStyle w:val="FootnoteReference"/>
          <w:rFonts w:ascii="Times New Roman" w:hAnsi="Times New Roman"/>
        </w:rPr>
        <w:footnoteRef/>
      </w:r>
      <w:r w:rsidRPr="00500DAF">
        <w:rPr>
          <w:rFonts w:ascii="Times New Roman" w:hAnsi="Times New Roman"/>
          <w:lang w:val="hr-HR"/>
        </w:rPr>
        <w:t>NN 117/19, 32/20, 42/20.</w:t>
      </w:r>
    </w:p>
  </w:footnote>
  <w:footnote w:id="3">
    <w:p w14:paraId="41B934E9" w14:textId="77777777" w:rsidR="0043072F" w:rsidRPr="003C3AE6" w:rsidRDefault="0043072F">
      <w:pPr>
        <w:pStyle w:val="FootnoteText"/>
        <w:rPr>
          <w:lang w:val="hr-HR"/>
        </w:rPr>
      </w:pPr>
      <w:r w:rsidRPr="00371FD5">
        <w:rPr>
          <w:rStyle w:val="FootnoteReference"/>
        </w:rPr>
        <w:footnoteRef/>
      </w:r>
      <w:r w:rsidRPr="00371FD5">
        <w:rPr>
          <w:lang w:val="hr-HR"/>
        </w:rPr>
        <w:t>NN 134/20</w:t>
      </w:r>
    </w:p>
  </w:footnote>
  <w:footnote w:id="4">
    <w:p w14:paraId="792FA1F6" w14:textId="77777777" w:rsidR="0043072F" w:rsidRPr="00500DAF" w:rsidRDefault="0043072F" w:rsidP="001D3C02">
      <w:pPr>
        <w:pStyle w:val="FootnoteText"/>
        <w:rPr>
          <w:rFonts w:ascii="Times New Roman" w:hAnsi="Times New Roman"/>
          <w:lang w:val="hr-HR"/>
        </w:rPr>
      </w:pPr>
      <w:r w:rsidRPr="00500DAF">
        <w:rPr>
          <w:rStyle w:val="FootnoteReference"/>
          <w:rFonts w:ascii="Times New Roman" w:hAnsi="Times New Roman"/>
        </w:rPr>
        <w:footnoteRef/>
      </w:r>
      <w:r w:rsidRPr="00500DAF">
        <w:rPr>
          <w:rFonts w:ascii="Times New Roman" w:hAnsi="Times New Roman"/>
          <w:lang w:val="hr-HR"/>
        </w:rPr>
        <w:t>NN 29/02, 63/07, 53/12.</w:t>
      </w:r>
    </w:p>
  </w:footnote>
  <w:footnote w:id="5">
    <w:p w14:paraId="336559F9" w14:textId="77777777" w:rsidR="0043072F" w:rsidRPr="00500DAF" w:rsidRDefault="0043072F" w:rsidP="001D3C02">
      <w:pPr>
        <w:pStyle w:val="FootnoteText"/>
        <w:rPr>
          <w:rFonts w:ascii="Times New Roman" w:hAnsi="Times New Roman"/>
          <w:lang w:val="hr-HR"/>
        </w:rPr>
      </w:pPr>
      <w:r w:rsidRPr="00500DAF">
        <w:rPr>
          <w:rStyle w:val="FootnoteReference"/>
          <w:rFonts w:ascii="Times New Roman" w:hAnsi="Times New Roman"/>
        </w:rPr>
        <w:footnoteRef/>
      </w:r>
      <w:r w:rsidRPr="00500DAF">
        <w:rPr>
          <w:rFonts w:ascii="Times New Roman" w:hAnsi="Times New Roman"/>
          <w:lang w:val="hr-HR"/>
        </w:rPr>
        <w:t>NN 138/06, 25/13.</w:t>
      </w:r>
    </w:p>
  </w:footnote>
  <w:footnote w:id="6">
    <w:p w14:paraId="523965D2" w14:textId="77777777" w:rsidR="0043072F" w:rsidRPr="003C78D6" w:rsidRDefault="0043072F" w:rsidP="001D3C02">
      <w:pPr>
        <w:pStyle w:val="FootnoteText"/>
        <w:jc w:val="both"/>
        <w:rPr>
          <w:lang w:val="hr-HR"/>
        </w:rPr>
      </w:pPr>
      <w:r w:rsidRPr="00500DAF">
        <w:rPr>
          <w:rStyle w:val="FootnoteReference"/>
          <w:rFonts w:ascii="Times New Roman" w:hAnsi="Times New Roman"/>
        </w:rPr>
        <w:footnoteRef/>
      </w:r>
      <w:r w:rsidRPr="00500DAF">
        <w:rPr>
          <w:rFonts w:ascii="Times New Roman" w:hAnsi="Times New Roman"/>
          <w:lang w:val="hr-HR"/>
        </w:rPr>
        <w:t xml:space="preserve">Uredba (EZ) br. 1893/2006 Europskog parlamenta i Vijeća od 20. prosinca 2006. o utvrđivanju statističke klasifikacije ekonomskih djelatnosti NACE </w:t>
      </w:r>
      <w:proofErr w:type="spellStart"/>
      <w:r w:rsidRPr="00500DAF">
        <w:rPr>
          <w:rFonts w:ascii="Times New Roman" w:hAnsi="Times New Roman"/>
          <w:lang w:val="hr-HR"/>
        </w:rPr>
        <w:t>Revision</w:t>
      </w:r>
      <w:proofErr w:type="spellEnd"/>
      <w:r w:rsidRPr="00500DAF">
        <w:rPr>
          <w:rFonts w:ascii="Times New Roman" w:hAnsi="Times New Roman"/>
          <w:lang w:val="hr-HR"/>
        </w:rPr>
        <w:t xml:space="preserve"> 2 te izmjeni Uredbe Vijeća (EEZ) br. 037/90 kao i određenih uredbi EZ-a o posebnim statističkim područjima (SL L 393, 30.12.2006., str. 1)</w:t>
      </w:r>
    </w:p>
  </w:footnote>
  <w:footnote w:id="7">
    <w:p w14:paraId="7F040440" w14:textId="77777777" w:rsidR="0043072F" w:rsidRPr="006D41EC" w:rsidRDefault="0043072F" w:rsidP="001D3C02">
      <w:pPr>
        <w:pStyle w:val="FootnoteText"/>
        <w:rPr>
          <w:rFonts w:ascii="Times New Roman" w:hAnsi="Times New Roman"/>
          <w:lang w:val="hr-HR"/>
        </w:rPr>
      </w:pPr>
      <w:r w:rsidRPr="006D41EC">
        <w:rPr>
          <w:rStyle w:val="FootnoteReference"/>
          <w:rFonts w:ascii="Times New Roman" w:hAnsi="Times New Roman"/>
        </w:rPr>
        <w:footnoteRef/>
      </w:r>
      <w:r w:rsidRPr="006D41EC">
        <w:rPr>
          <w:rFonts w:ascii="Times New Roman" w:hAnsi="Times New Roman"/>
          <w:lang w:val="hr-HR"/>
        </w:rPr>
        <w:t>SL L 187, 26.6.2014.</w:t>
      </w:r>
    </w:p>
  </w:footnote>
  <w:footnote w:id="8">
    <w:p w14:paraId="5823F8B8" w14:textId="77777777" w:rsidR="0043072F" w:rsidRPr="006D41EC" w:rsidRDefault="0043072F" w:rsidP="001D3C02">
      <w:pPr>
        <w:pStyle w:val="FootnoteText"/>
        <w:rPr>
          <w:rFonts w:ascii="Times New Roman" w:hAnsi="Times New Roman"/>
          <w:lang w:val="hr-HR"/>
        </w:rPr>
      </w:pPr>
      <w:r w:rsidRPr="006D41EC">
        <w:rPr>
          <w:rStyle w:val="FootnoteReference"/>
          <w:rFonts w:ascii="Times New Roman" w:hAnsi="Times New Roman"/>
        </w:rPr>
        <w:footnoteRef/>
      </w:r>
      <w:r w:rsidRPr="006D41EC">
        <w:rPr>
          <w:rFonts w:ascii="Times New Roman" w:hAnsi="Times New Roman"/>
          <w:lang w:val="hr-HR"/>
        </w:rPr>
        <w:t>Odnosi se na proizvode iz Priloga I. UFEU uz iznimku proizvoda iz sektora ribarstva i akvakulture.</w:t>
      </w:r>
    </w:p>
  </w:footnote>
  <w:footnote w:id="9">
    <w:p w14:paraId="77099337" w14:textId="77777777" w:rsidR="0043072F" w:rsidRPr="006D41EC" w:rsidRDefault="0043072F" w:rsidP="001D3C02">
      <w:pPr>
        <w:pStyle w:val="FootnoteText"/>
        <w:jc w:val="both"/>
        <w:rPr>
          <w:rFonts w:ascii="Times New Roman" w:hAnsi="Times New Roman"/>
          <w:lang w:val="hr-HR"/>
        </w:rPr>
      </w:pPr>
      <w:r w:rsidRPr="006D41EC">
        <w:rPr>
          <w:rStyle w:val="FootnoteReference"/>
          <w:rFonts w:ascii="Times New Roman" w:hAnsi="Times New Roman"/>
        </w:rPr>
        <w:footnoteRef/>
      </w:r>
      <w:r w:rsidRPr="006D41EC">
        <w:rPr>
          <w:rFonts w:ascii="Times New Roman" w:hAnsi="Times New Roman"/>
          <w:lang w:val="hr-HR"/>
        </w:rPr>
        <w:t>Proizvodi navedeni u Prilogu I. Uredbi br. 1379/2013 Europskog parlamenta i Vijeća od 11. prosinca 2013. o zajedničkom uređenju tržišta proizvodima ribarstva i akvakulture, izmjeni Uredbe Vijeća (EZ) br. 1184/2006 i br. 1224/2009 i stavljanju izvan snage Uredbe Vijeća (EZ) br. 104/2000, SL L 354, 28.12. 2013., str. 1</w:t>
      </w:r>
    </w:p>
  </w:footnote>
  <w:footnote w:id="10">
    <w:p w14:paraId="4561A628" w14:textId="77777777" w:rsidR="0043072F" w:rsidRPr="006D41EC" w:rsidRDefault="0043072F" w:rsidP="001D3C02">
      <w:pPr>
        <w:pStyle w:val="FootnoteText"/>
        <w:jc w:val="both"/>
        <w:rPr>
          <w:rFonts w:ascii="Times New Roman" w:hAnsi="Times New Roman"/>
          <w:lang w:val="hr-HR"/>
        </w:rPr>
      </w:pPr>
      <w:r w:rsidRPr="006D41EC">
        <w:rPr>
          <w:rStyle w:val="FootnoteReference"/>
          <w:rFonts w:ascii="Times New Roman" w:hAnsi="Times New Roman"/>
        </w:rPr>
        <w:footnoteRef/>
      </w:r>
      <w:r w:rsidRPr="006D41EC">
        <w:rPr>
          <w:rFonts w:ascii="Times New Roman" w:hAnsi="Times New Roman"/>
          <w:lang w:val="hr-HR"/>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w:t>
      </w:r>
    </w:p>
  </w:footnote>
  <w:footnote w:id="11">
    <w:p w14:paraId="4E302C10" w14:textId="65E536E7" w:rsidR="0043072F" w:rsidRPr="005E0807" w:rsidRDefault="0043072F" w:rsidP="001D3C02">
      <w:pPr>
        <w:pStyle w:val="FootnoteText"/>
        <w:rPr>
          <w:lang w:val="hr-HR"/>
        </w:rPr>
      </w:pPr>
      <w:r>
        <w:rPr>
          <w:rStyle w:val="FootnoteReference"/>
        </w:rPr>
        <w:footnoteRef/>
      </w:r>
      <w:r>
        <w:t xml:space="preserve"> </w:t>
      </w:r>
      <w:proofErr w:type="spellStart"/>
      <w:r>
        <w:t>Potpora</w:t>
      </w:r>
      <w:proofErr w:type="spellEnd"/>
      <w:r>
        <w:t xml:space="preserve"> </w:t>
      </w:r>
      <w:proofErr w:type="spellStart"/>
      <w:r>
        <w:t>dodijeljena</w:t>
      </w:r>
      <w:proofErr w:type="spellEnd"/>
      <w:r>
        <w:t xml:space="preserve"> </w:t>
      </w:r>
      <w:proofErr w:type="spellStart"/>
      <w:r>
        <w:t>na</w:t>
      </w:r>
      <w:proofErr w:type="spellEnd"/>
      <w:r>
        <w:t xml:space="preserve"> </w:t>
      </w:r>
      <w:proofErr w:type="spellStart"/>
      <w:r>
        <w:t>temelju</w:t>
      </w:r>
      <w:proofErr w:type="spellEnd"/>
      <w:r>
        <w:t xml:space="preserve"> </w:t>
      </w:r>
      <w:proofErr w:type="spellStart"/>
      <w:r>
        <w:t>programa</w:t>
      </w:r>
      <w:proofErr w:type="spellEnd"/>
      <w:r>
        <w:t xml:space="preserve"> </w:t>
      </w:r>
      <w:proofErr w:type="spellStart"/>
      <w:r>
        <w:t>odobrenih</w:t>
      </w:r>
      <w:proofErr w:type="spellEnd"/>
      <w:r>
        <w:t xml:space="preserve"> u </w:t>
      </w:r>
      <w:proofErr w:type="spellStart"/>
      <w:r>
        <w:t>skladu</w:t>
      </w:r>
      <w:proofErr w:type="spellEnd"/>
      <w:r>
        <w:t xml:space="preserve"> s </w:t>
      </w:r>
      <w:proofErr w:type="spellStart"/>
      <w:r>
        <w:t>odjeljkom</w:t>
      </w:r>
      <w:proofErr w:type="spellEnd"/>
      <w:r>
        <w:t xml:space="preserve"> 3.1. </w:t>
      </w:r>
      <w:proofErr w:type="spellStart"/>
      <w:r>
        <w:t>Privremenog</w:t>
      </w:r>
      <w:proofErr w:type="spellEnd"/>
      <w:r>
        <w:t xml:space="preserve"> </w:t>
      </w:r>
      <w:proofErr w:type="spellStart"/>
      <w:r>
        <w:t>okvira</w:t>
      </w:r>
      <w:proofErr w:type="spellEnd"/>
      <w:r>
        <w:t xml:space="preserve"> – COVID </w:t>
      </w:r>
      <w:proofErr w:type="gramStart"/>
      <w:r>
        <w:t xml:space="preserve">19,  </w:t>
      </w:r>
      <w:proofErr w:type="spellStart"/>
      <w:r>
        <w:t>koja</w:t>
      </w:r>
      <w:proofErr w:type="spellEnd"/>
      <w:proofErr w:type="gramEnd"/>
      <w:r>
        <w:t xml:space="preserve"> je </w:t>
      </w:r>
      <w:proofErr w:type="spellStart"/>
      <w:r>
        <w:t>vraćena</w:t>
      </w:r>
      <w:proofErr w:type="spellEnd"/>
      <w:r>
        <w:t xml:space="preserve"> </w:t>
      </w:r>
      <w:proofErr w:type="spellStart"/>
      <w:r>
        <w:t>prije</w:t>
      </w:r>
      <w:proofErr w:type="spellEnd"/>
      <w:r>
        <w:t xml:space="preserve"> 3</w:t>
      </w:r>
      <w:r w:rsidR="00BA6570">
        <w:t>0</w:t>
      </w:r>
      <w:r>
        <w:t xml:space="preserve">. </w:t>
      </w:r>
      <w:proofErr w:type="spellStart"/>
      <w:proofErr w:type="gramStart"/>
      <w:r w:rsidR="00BA6570">
        <w:t>lipnja</w:t>
      </w:r>
      <w:proofErr w:type="spellEnd"/>
      <w:r w:rsidR="00BA6570">
        <w:t xml:space="preserve"> </w:t>
      </w:r>
      <w:r>
        <w:t xml:space="preserve"> 202</w:t>
      </w:r>
      <w:r w:rsidR="00BA6570">
        <w:t>2</w:t>
      </w:r>
      <w:proofErr w:type="gramEnd"/>
      <w:r>
        <w:t xml:space="preserve">., </w:t>
      </w:r>
      <w:proofErr w:type="spellStart"/>
      <w:r>
        <w:t>neće</w:t>
      </w:r>
      <w:proofErr w:type="spellEnd"/>
      <w:r>
        <w:t xml:space="preserve"> se </w:t>
      </w:r>
      <w:proofErr w:type="spellStart"/>
      <w:r>
        <w:t>uzimati</w:t>
      </w:r>
      <w:proofErr w:type="spellEnd"/>
      <w:r>
        <w:t xml:space="preserve"> u </w:t>
      </w:r>
      <w:proofErr w:type="spellStart"/>
      <w:r>
        <w:t>obzir</w:t>
      </w:r>
      <w:proofErr w:type="spellEnd"/>
      <w:r>
        <w:t xml:space="preserve"> </w:t>
      </w:r>
      <w:proofErr w:type="spellStart"/>
      <w:r>
        <w:t>pri</w:t>
      </w:r>
      <w:proofErr w:type="spellEnd"/>
      <w:r>
        <w:t xml:space="preserve"> </w:t>
      </w:r>
      <w:proofErr w:type="spellStart"/>
      <w:r>
        <w:t>utvrđivanju</w:t>
      </w:r>
      <w:proofErr w:type="spellEnd"/>
      <w:r>
        <w:t xml:space="preserve"> </w:t>
      </w:r>
      <w:proofErr w:type="spellStart"/>
      <w:r>
        <w:t>je</w:t>
      </w:r>
      <w:proofErr w:type="spellEnd"/>
      <w:r>
        <w:t xml:space="preserve"> li </w:t>
      </w:r>
      <w:proofErr w:type="spellStart"/>
      <w:r>
        <w:t>relevantni</w:t>
      </w:r>
      <w:proofErr w:type="spellEnd"/>
      <w:r>
        <w:t xml:space="preserve"> </w:t>
      </w:r>
      <w:proofErr w:type="spellStart"/>
      <w:r>
        <w:t>prag</w:t>
      </w:r>
      <w:proofErr w:type="spellEnd"/>
      <w:r>
        <w:t xml:space="preserve"> </w:t>
      </w:r>
      <w:proofErr w:type="spellStart"/>
      <w:r>
        <w:t>prekoračen</w:t>
      </w:r>
      <w:proofErr w:type="spellEnd"/>
    </w:p>
  </w:footnote>
  <w:footnote w:id="12">
    <w:p w14:paraId="2917525B" w14:textId="77777777" w:rsidR="0043072F" w:rsidRPr="00CB0F58" w:rsidRDefault="0043072F">
      <w:pPr>
        <w:pStyle w:val="FootnoteText"/>
        <w:rPr>
          <w:lang w:val="hr-HR"/>
        </w:rPr>
      </w:pPr>
      <w:r>
        <w:rPr>
          <w:rStyle w:val="FootnoteReference"/>
        </w:rPr>
        <w:footnoteRef/>
      </w:r>
      <w:r>
        <w:t xml:space="preserve"> </w:t>
      </w:r>
      <w:r>
        <w:rPr>
          <w:lang w:val="hr-HR"/>
        </w:rPr>
        <w:t xml:space="preserve">Kako je definirano u članku 2. stavku 1. Uredbe Komisije (EU) br. 717/2014 od 27. lipnja 2014. o primjeni članaka 107. i 108. Ugovora o funkcioniranju Europske unije na de </w:t>
      </w:r>
      <w:proofErr w:type="spellStart"/>
      <w:r>
        <w:rPr>
          <w:lang w:val="hr-HR"/>
        </w:rPr>
        <w:t>miminis</w:t>
      </w:r>
      <w:proofErr w:type="spellEnd"/>
      <w:r>
        <w:rPr>
          <w:lang w:val="hr-HR"/>
        </w:rPr>
        <w:t xml:space="preserve"> potpore u sektoru ribarstva i akvakulture, SL L 190, 28.6.2014., str. 45.</w:t>
      </w:r>
    </w:p>
  </w:footnote>
  <w:footnote w:id="13">
    <w:p w14:paraId="7EBF4027" w14:textId="77777777" w:rsidR="0043072F" w:rsidRPr="00CB0F58" w:rsidRDefault="0043072F">
      <w:pPr>
        <w:pStyle w:val="FootnoteText"/>
        <w:rPr>
          <w:lang w:val="hr-HR"/>
        </w:rPr>
      </w:pPr>
      <w:r>
        <w:rPr>
          <w:rStyle w:val="FootnoteReference"/>
        </w:rPr>
        <w:footnoteRef/>
      </w:r>
      <w:r>
        <w:t xml:space="preserve"> </w:t>
      </w:r>
      <w:r>
        <w:rPr>
          <w:lang w:val="hr-HR"/>
        </w:rPr>
        <w:t>Kako je definirano u članku 2. stavku 5. Uredbe Komisije (EU) br. 702/2014 od 25. lipnja 2014. o proglašenju određenih kategorija potpora  u sektoru poljoprivrede i šumarstva te u ruralnim područjima spojivima s unutarnjim tržištem u primjeni članaka 107. i 108. Ugovora o funkcioniranju Europske unije, SL L 193, 1.7.2014. str. 1.</w:t>
      </w:r>
    </w:p>
  </w:footnote>
  <w:footnote w:id="14">
    <w:p w14:paraId="1B380344" w14:textId="77777777" w:rsidR="0043072F" w:rsidRPr="006D41EC" w:rsidRDefault="0043072F" w:rsidP="001D3C02">
      <w:pPr>
        <w:pStyle w:val="FootnoteText"/>
        <w:jc w:val="both"/>
        <w:rPr>
          <w:rFonts w:ascii="Times New Roman" w:hAnsi="Times New Roman"/>
          <w:lang w:val="hr-HR"/>
        </w:rPr>
      </w:pPr>
      <w:r w:rsidRPr="006D41EC">
        <w:rPr>
          <w:rStyle w:val="FootnoteReference"/>
          <w:rFonts w:ascii="Times New Roman" w:hAnsi="Times New Roman"/>
        </w:rPr>
        <w:footnoteRef/>
      </w:r>
      <w:r w:rsidRPr="006D41EC">
        <w:rPr>
          <w:rFonts w:ascii="Times New Roman" w:hAnsi="Times New Roman"/>
          <w:bCs/>
          <w:lang w:val="hr-HR"/>
        </w:rPr>
        <w:t xml:space="preserve">Uredbe Komisije (EU) br. 1407/2013 od 18. prosinca 2013. o primjeni članaka 107. i 108. Ugovora o funkcioniranju Europske unije na </w:t>
      </w:r>
      <w:r w:rsidRPr="006D41EC">
        <w:rPr>
          <w:rFonts w:ascii="Times New Roman" w:hAnsi="Times New Roman"/>
          <w:bCs/>
          <w:i/>
          <w:lang w:val="hr-HR"/>
        </w:rPr>
        <w:t xml:space="preserve">de </w:t>
      </w:r>
      <w:proofErr w:type="spellStart"/>
      <w:r w:rsidRPr="006D41EC">
        <w:rPr>
          <w:rFonts w:ascii="Times New Roman" w:hAnsi="Times New Roman"/>
          <w:bCs/>
          <w:i/>
          <w:lang w:val="hr-HR"/>
        </w:rPr>
        <w:t>minimis</w:t>
      </w:r>
      <w:proofErr w:type="spellEnd"/>
      <w:r w:rsidRPr="006D41EC">
        <w:rPr>
          <w:rFonts w:ascii="Times New Roman" w:hAnsi="Times New Roman"/>
          <w:bCs/>
          <w:lang w:val="hr-HR"/>
        </w:rPr>
        <w:t xml:space="preserve"> potpore (SL L 352, 24. 12. 2013., str. 1), Uredba Komisije (EU) br. 1408/2013 od 18. Prosinca 2013. o primjeni članaka 107. i 108. Ugovora o funkcioniranju Europske unije na potpore </w:t>
      </w:r>
      <w:r w:rsidRPr="006D41EC">
        <w:rPr>
          <w:rFonts w:ascii="Times New Roman" w:hAnsi="Times New Roman"/>
          <w:bCs/>
          <w:i/>
          <w:lang w:val="hr-HR"/>
        </w:rPr>
        <w:t xml:space="preserve">de </w:t>
      </w:r>
      <w:proofErr w:type="spellStart"/>
      <w:r w:rsidRPr="006D41EC">
        <w:rPr>
          <w:rFonts w:ascii="Times New Roman" w:hAnsi="Times New Roman"/>
          <w:bCs/>
          <w:i/>
          <w:lang w:val="hr-HR"/>
        </w:rPr>
        <w:t>minimis</w:t>
      </w:r>
      <w:proofErr w:type="spellEnd"/>
      <w:r w:rsidRPr="006D41EC">
        <w:rPr>
          <w:rFonts w:ascii="Times New Roman" w:hAnsi="Times New Roman"/>
          <w:bCs/>
          <w:lang w:val="hr-HR"/>
        </w:rPr>
        <w:t xml:space="preserve"> u poljoprivrednom sektoru (SL L 352, 24.12.2013., str. 9.), Uredba Komisije (EU) br. 717/2014 od 27. lipnja 2014. o primjeni članaka 107. i 108. Ugovora o funkcioniranju Europske unije na </w:t>
      </w:r>
      <w:r w:rsidRPr="006D41EC">
        <w:rPr>
          <w:rFonts w:ascii="Times New Roman" w:hAnsi="Times New Roman"/>
          <w:bCs/>
          <w:i/>
          <w:lang w:val="hr-HR"/>
        </w:rPr>
        <w:t xml:space="preserve">de </w:t>
      </w:r>
      <w:proofErr w:type="spellStart"/>
      <w:r w:rsidRPr="006D41EC">
        <w:rPr>
          <w:rFonts w:ascii="Times New Roman" w:hAnsi="Times New Roman"/>
          <w:bCs/>
          <w:i/>
          <w:lang w:val="hr-HR"/>
        </w:rPr>
        <w:t>minimis</w:t>
      </w:r>
      <w:proofErr w:type="spellEnd"/>
      <w:r w:rsidRPr="006D41EC">
        <w:rPr>
          <w:rFonts w:ascii="Times New Roman" w:hAnsi="Times New Roman"/>
          <w:bCs/>
          <w:lang w:val="hr-HR"/>
        </w:rPr>
        <w:t xml:space="preserve"> potpore u sektoru ribarstva i akvakulture (SL L 190, 28.6.2014., str. 45.) i Uredba Komisije (EU) br. 360/2012. o primjeni članaka 107. i 108. Ugovora o funkcioniranju Europske unije na potpore </w:t>
      </w:r>
      <w:r w:rsidRPr="006D41EC">
        <w:rPr>
          <w:rFonts w:ascii="Times New Roman" w:hAnsi="Times New Roman"/>
          <w:bCs/>
          <w:i/>
          <w:lang w:val="hr-HR"/>
        </w:rPr>
        <w:t xml:space="preserve">de </w:t>
      </w:r>
      <w:proofErr w:type="spellStart"/>
      <w:r w:rsidRPr="006D41EC">
        <w:rPr>
          <w:rFonts w:ascii="Times New Roman" w:hAnsi="Times New Roman"/>
          <w:bCs/>
          <w:i/>
          <w:lang w:val="hr-HR"/>
        </w:rPr>
        <w:t>minimis</w:t>
      </w:r>
      <w:proofErr w:type="spellEnd"/>
      <w:r w:rsidRPr="006D41EC">
        <w:rPr>
          <w:rFonts w:ascii="Times New Roman" w:hAnsi="Times New Roman"/>
          <w:bCs/>
          <w:lang w:val="hr-HR"/>
        </w:rPr>
        <w:t xml:space="preserve"> koje se dodjeljuju poduzetnicima koji pružaju usluge od općeg gospodarskog interesa (SL L 114 od 26.4.2012., str. 8.).</w:t>
      </w:r>
    </w:p>
  </w:footnote>
  <w:footnote w:id="15">
    <w:p w14:paraId="4EE1FA5B" w14:textId="77777777" w:rsidR="0043072F" w:rsidRPr="00E34102" w:rsidRDefault="0043072F" w:rsidP="001D3C02">
      <w:pPr>
        <w:pStyle w:val="FootnoteText"/>
        <w:jc w:val="both"/>
        <w:rPr>
          <w:lang w:val="hr-HR"/>
        </w:rPr>
      </w:pPr>
      <w:r w:rsidRPr="006D41EC">
        <w:rPr>
          <w:rStyle w:val="FootnoteReference"/>
          <w:rFonts w:ascii="Times New Roman" w:hAnsi="Times New Roman"/>
        </w:rPr>
        <w:footnoteRef/>
      </w:r>
      <w:r w:rsidRPr="006D41EC">
        <w:rPr>
          <w:rFonts w:ascii="Times New Roman" w:hAnsi="Times New Roman"/>
          <w:lang w:val="hr-HR"/>
        </w:rPr>
        <w:t xml:space="preserve">Uredba Komisije (EU) br. 651/2014 </w:t>
      </w:r>
      <w:proofErr w:type="spellStart"/>
      <w:r w:rsidRPr="006D41EC">
        <w:rPr>
          <w:rFonts w:ascii="Times New Roman" w:hAnsi="Times New Roman"/>
          <w:lang w:val="hr-HR"/>
        </w:rPr>
        <w:t>оd</w:t>
      </w:r>
      <w:proofErr w:type="spellEnd"/>
      <w:r w:rsidRPr="006D41EC">
        <w:rPr>
          <w:rFonts w:ascii="Times New Roman" w:hAnsi="Times New Roman"/>
          <w:lang w:val="hr-HR"/>
        </w:rPr>
        <w:t xml:space="preserve"> 17. lipnja 2014. o ocjenjivanju određenih kategorija potpora spojivima s unutarnjim tržištem u primjeni članaka 107. i 108. Ugovora (Opća uredba o skupnom izuzeću, Uredba Komisije (EZ) br. 702/2014 od 25. lipnja 2014. o proglašenju određenih kategorija potpora u sektoru poljoprivrede i šumarstva te ruralnim područjima spojivima s unutarnjim tržištem u primjeni članaka 107. i 108. Ugovora o funkcioniranju Europske unije, SL L 193, 1.7.2014., str. 1. i Uredba Komisije (EU) br. 1388/2014 od 16. prosinca 2014. o ocjenjivanju određenih kategorija potpora poduzetnicima koji se bave proizvodnjom, preradom i stavljanjem na tržište proizvoda ribarstva i akvakulture spojivima s unutarnjim tržištem u primjeni članaka 107. i 108. Ugovora o funkcioniranju Europske unije, SL L 369, 24. 12. 2014., str. 37</w:t>
      </w:r>
    </w:p>
  </w:footnote>
  <w:footnote w:id="16">
    <w:p w14:paraId="4E4E46CE" w14:textId="257825A5" w:rsidR="0043072F" w:rsidRPr="006D41EC" w:rsidRDefault="0043072F" w:rsidP="001D3C02">
      <w:pPr>
        <w:pStyle w:val="FootnoteText"/>
        <w:jc w:val="both"/>
        <w:rPr>
          <w:rFonts w:ascii="Times New Roman" w:hAnsi="Times New Roman"/>
          <w:lang w:val="hr-HR"/>
        </w:rPr>
      </w:pPr>
      <w:r>
        <w:rPr>
          <w:rStyle w:val="FootnoteReference"/>
        </w:rPr>
        <w:footnoteRef/>
      </w:r>
      <w:r w:rsidRPr="006D41EC">
        <w:rPr>
          <w:rFonts w:ascii="Times New Roman" w:hAnsi="Times New Roman"/>
          <w:lang w:val="hr-HR"/>
        </w:rPr>
        <w:t xml:space="preserve">Radi se o informacijama propisanim u Prilogu III. </w:t>
      </w:r>
      <w:r w:rsidRPr="006D41EC">
        <w:rPr>
          <w:rFonts w:ascii="Times New Roman" w:hAnsi="Times New Roman"/>
          <w:lang w:val="hr-HR"/>
        </w:rPr>
        <w:t>Uredb</w:t>
      </w:r>
      <w:r>
        <w:rPr>
          <w:rFonts w:ascii="Times New Roman" w:hAnsi="Times New Roman"/>
          <w:lang w:val="hr-HR"/>
        </w:rPr>
        <w:t>i</w:t>
      </w:r>
      <w:r w:rsidRPr="006D41EC">
        <w:rPr>
          <w:rFonts w:ascii="Times New Roman" w:hAnsi="Times New Roman"/>
          <w:lang w:val="hr-HR"/>
        </w:rPr>
        <w:t xml:space="preserve"> Komisije (EU) br. 651/2014 </w:t>
      </w:r>
      <w:proofErr w:type="spellStart"/>
      <w:r w:rsidRPr="006D41EC">
        <w:rPr>
          <w:rFonts w:ascii="Times New Roman" w:hAnsi="Times New Roman"/>
          <w:lang w:val="hr-HR"/>
        </w:rPr>
        <w:t>оd</w:t>
      </w:r>
      <w:proofErr w:type="spellEnd"/>
      <w:r w:rsidRPr="006D41EC">
        <w:rPr>
          <w:rFonts w:ascii="Times New Roman" w:hAnsi="Times New Roman"/>
          <w:lang w:val="hr-HR"/>
        </w:rPr>
        <w:t xml:space="preserve"> 17. lipnja 2014. o ocjenjivanju određenih kategorija potpora spojivima s unutarnjim tržištem u primjeni članaka 107. i 108. Ugovora. Za povratne predujmove, jamstva, zajmove, podređene zajmove i druge oblike potpore nominalna vrijednost temeljnog instrumenta navodi se po korisniku. Za porezne olakšice i povoljnije uvjete plaćanja iznos potpore za pojedinačnu potporu može se navesti u rasponima.</w:t>
      </w:r>
    </w:p>
  </w:footnote>
  <w:footnote w:id="17">
    <w:p w14:paraId="2BFF2D32" w14:textId="77777777" w:rsidR="0043072F" w:rsidRPr="006D41EC" w:rsidRDefault="0043072F" w:rsidP="001D3C02">
      <w:pPr>
        <w:pStyle w:val="FootnoteText"/>
        <w:jc w:val="both"/>
        <w:rPr>
          <w:rFonts w:ascii="Times New Roman" w:hAnsi="Times New Roman"/>
          <w:spacing w:val="-2"/>
          <w:lang w:val="hr-HR"/>
        </w:rPr>
      </w:pPr>
      <w:r w:rsidRPr="006D41EC">
        <w:rPr>
          <w:rStyle w:val="FootnoteReference"/>
          <w:rFonts w:ascii="Times New Roman" w:hAnsi="Times New Roman"/>
          <w:spacing w:val="-2"/>
        </w:rPr>
        <w:footnoteRef/>
      </w:r>
      <w:r w:rsidRPr="006D41EC">
        <w:rPr>
          <w:rFonts w:ascii="Times New Roman" w:hAnsi="Times New Roman"/>
          <w:spacing w:val="-2"/>
          <w:lang w:val="hr-HR"/>
        </w:rPr>
        <w:t xml:space="preserve">Stranica za javno pretraživanje baze podataka “Transparentnost </w:t>
      </w:r>
      <w:r>
        <w:rPr>
          <w:rFonts w:ascii="Times New Roman" w:hAnsi="Times New Roman"/>
          <w:spacing w:val="-2"/>
          <w:lang w:val="hr-HR"/>
        </w:rPr>
        <w:t xml:space="preserve"> </w:t>
      </w:r>
      <w:r w:rsidRPr="006D41EC">
        <w:rPr>
          <w:rFonts w:ascii="Times New Roman" w:hAnsi="Times New Roman"/>
          <w:spacing w:val="-2"/>
          <w:lang w:val="hr-HR"/>
        </w:rPr>
        <w:t>državnih potpora” omogućuje pristup relevantnim podacima i dostupna je na https://webgate.ec.europa.eu/competition/transparency/public?lang=en.</w:t>
      </w:r>
    </w:p>
  </w:footnote>
  <w:footnote w:id="18">
    <w:p w14:paraId="76B8A031" w14:textId="77777777" w:rsidR="0043072F" w:rsidRPr="00DF1E20" w:rsidRDefault="0043072F" w:rsidP="001D3C02">
      <w:pPr>
        <w:pStyle w:val="FootnoteText"/>
        <w:jc w:val="both"/>
        <w:rPr>
          <w:lang w:val="hr-HR"/>
        </w:rPr>
      </w:pPr>
      <w:r w:rsidRPr="006D41EC">
        <w:rPr>
          <w:rStyle w:val="FootnoteReference"/>
          <w:rFonts w:ascii="Times New Roman" w:hAnsi="Times New Roman"/>
        </w:rPr>
        <w:footnoteRef/>
      </w:r>
      <w:r w:rsidRPr="006D41EC">
        <w:rPr>
          <w:rFonts w:ascii="Times New Roman" w:hAnsi="Times New Roman"/>
          <w:lang w:val="hr-HR"/>
        </w:rPr>
        <w:t>SL L 140, 30.4.2004., str. 1-134.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50708"/>
      <w:docPartObj>
        <w:docPartGallery w:val="Page Numbers (Top of Page)"/>
        <w:docPartUnique/>
      </w:docPartObj>
    </w:sdtPr>
    <w:sdtEndPr>
      <w:rPr>
        <w:rFonts w:ascii="Times New Roman" w:hAnsi="Times New Roman" w:cs="Times New Roman"/>
        <w:noProof/>
        <w:sz w:val="24"/>
        <w:szCs w:val="24"/>
      </w:rPr>
    </w:sdtEndPr>
    <w:sdtContent>
      <w:p w14:paraId="59955F6D" w14:textId="5EDD25F9" w:rsidR="0043072F" w:rsidRPr="001C07E9" w:rsidRDefault="0043072F" w:rsidP="008F6EFF">
        <w:pPr>
          <w:pStyle w:val="Header"/>
          <w:jc w:val="center"/>
          <w:rPr>
            <w:rFonts w:ascii="Times New Roman" w:hAnsi="Times New Roman" w:cs="Times New Roman"/>
            <w:sz w:val="24"/>
            <w:szCs w:val="24"/>
          </w:rPr>
        </w:pPr>
        <w:r w:rsidRPr="001C07E9">
          <w:rPr>
            <w:rFonts w:ascii="Times New Roman" w:hAnsi="Times New Roman" w:cs="Times New Roman"/>
            <w:sz w:val="24"/>
            <w:szCs w:val="24"/>
          </w:rPr>
          <w:fldChar w:fldCharType="begin"/>
        </w:r>
        <w:r w:rsidRPr="001C07E9">
          <w:rPr>
            <w:rFonts w:ascii="Times New Roman" w:hAnsi="Times New Roman" w:cs="Times New Roman"/>
            <w:sz w:val="24"/>
            <w:szCs w:val="24"/>
          </w:rPr>
          <w:instrText xml:space="preserve"> PAGE   \* MERGEFORMAT </w:instrText>
        </w:r>
        <w:r w:rsidRPr="001C07E9">
          <w:rPr>
            <w:rFonts w:ascii="Times New Roman" w:hAnsi="Times New Roman" w:cs="Times New Roman"/>
            <w:sz w:val="24"/>
            <w:szCs w:val="24"/>
          </w:rPr>
          <w:fldChar w:fldCharType="separate"/>
        </w:r>
        <w:r w:rsidR="00F30E0D">
          <w:rPr>
            <w:rFonts w:ascii="Times New Roman" w:hAnsi="Times New Roman" w:cs="Times New Roman"/>
            <w:noProof/>
            <w:sz w:val="24"/>
            <w:szCs w:val="24"/>
          </w:rPr>
          <w:t>16</w:t>
        </w:r>
        <w:r w:rsidRPr="001C07E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DF9"/>
    <w:multiLevelType w:val="hybridMultilevel"/>
    <w:tmpl w:val="148E082A"/>
    <w:lvl w:ilvl="0" w:tplc="1DD6FD4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3C0945"/>
    <w:multiLevelType w:val="hybridMultilevel"/>
    <w:tmpl w:val="DE783ADE"/>
    <w:lvl w:ilvl="0" w:tplc="11CABE16">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02"/>
    <w:rsid w:val="000058A6"/>
    <w:rsid w:val="00053B1D"/>
    <w:rsid w:val="0005587E"/>
    <w:rsid w:val="0006236C"/>
    <w:rsid w:val="00066755"/>
    <w:rsid w:val="00073F2E"/>
    <w:rsid w:val="000B6883"/>
    <w:rsid w:val="000F6423"/>
    <w:rsid w:val="00154DB4"/>
    <w:rsid w:val="00167AF1"/>
    <w:rsid w:val="00193111"/>
    <w:rsid w:val="001D3C02"/>
    <w:rsid w:val="002008C2"/>
    <w:rsid w:val="00221F81"/>
    <w:rsid w:val="002653C3"/>
    <w:rsid w:val="002B3FBE"/>
    <w:rsid w:val="002E17C0"/>
    <w:rsid w:val="002E63F0"/>
    <w:rsid w:val="00315E5F"/>
    <w:rsid w:val="003306CB"/>
    <w:rsid w:val="003474E0"/>
    <w:rsid w:val="00371FD5"/>
    <w:rsid w:val="003908C3"/>
    <w:rsid w:val="003C15EC"/>
    <w:rsid w:val="003C3AE6"/>
    <w:rsid w:val="003D54AA"/>
    <w:rsid w:val="003E1985"/>
    <w:rsid w:val="003F1712"/>
    <w:rsid w:val="00402DC8"/>
    <w:rsid w:val="00411776"/>
    <w:rsid w:val="004270B2"/>
    <w:rsid w:val="0043072F"/>
    <w:rsid w:val="0043704D"/>
    <w:rsid w:val="00454E8D"/>
    <w:rsid w:val="004D0410"/>
    <w:rsid w:val="004F4739"/>
    <w:rsid w:val="00505B74"/>
    <w:rsid w:val="005423E9"/>
    <w:rsid w:val="00555AB3"/>
    <w:rsid w:val="00585640"/>
    <w:rsid w:val="005A0CC6"/>
    <w:rsid w:val="005E0EE2"/>
    <w:rsid w:val="006030D0"/>
    <w:rsid w:val="006571CF"/>
    <w:rsid w:val="006E262E"/>
    <w:rsid w:val="00742927"/>
    <w:rsid w:val="007510B0"/>
    <w:rsid w:val="007934A0"/>
    <w:rsid w:val="008105D3"/>
    <w:rsid w:val="00824C7D"/>
    <w:rsid w:val="0086351E"/>
    <w:rsid w:val="00896AFB"/>
    <w:rsid w:val="008B7534"/>
    <w:rsid w:val="008F6214"/>
    <w:rsid w:val="008F6EFF"/>
    <w:rsid w:val="00914DD3"/>
    <w:rsid w:val="00937B1E"/>
    <w:rsid w:val="00966897"/>
    <w:rsid w:val="009A0901"/>
    <w:rsid w:val="009A3C8C"/>
    <w:rsid w:val="009D033B"/>
    <w:rsid w:val="009F15C4"/>
    <w:rsid w:val="00A0404F"/>
    <w:rsid w:val="00A15ACE"/>
    <w:rsid w:val="00A41FA6"/>
    <w:rsid w:val="00A43B68"/>
    <w:rsid w:val="00A43F2D"/>
    <w:rsid w:val="00A60A5D"/>
    <w:rsid w:val="00A91B40"/>
    <w:rsid w:val="00AA6347"/>
    <w:rsid w:val="00AA6961"/>
    <w:rsid w:val="00AA7937"/>
    <w:rsid w:val="00AC248A"/>
    <w:rsid w:val="00AD266A"/>
    <w:rsid w:val="00B04A63"/>
    <w:rsid w:val="00B269E4"/>
    <w:rsid w:val="00B5008A"/>
    <w:rsid w:val="00B75376"/>
    <w:rsid w:val="00B8467B"/>
    <w:rsid w:val="00B972F9"/>
    <w:rsid w:val="00BA6570"/>
    <w:rsid w:val="00BB70F3"/>
    <w:rsid w:val="00BC2EF0"/>
    <w:rsid w:val="00C2471D"/>
    <w:rsid w:val="00C83334"/>
    <w:rsid w:val="00C922FE"/>
    <w:rsid w:val="00CA519C"/>
    <w:rsid w:val="00CB0F58"/>
    <w:rsid w:val="00CF58FB"/>
    <w:rsid w:val="00D12676"/>
    <w:rsid w:val="00D141AE"/>
    <w:rsid w:val="00D2163C"/>
    <w:rsid w:val="00D22142"/>
    <w:rsid w:val="00D27DE5"/>
    <w:rsid w:val="00D45185"/>
    <w:rsid w:val="00D72732"/>
    <w:rsid w:val="00DA3596"/>
    <w:rsid w:val="00DB7803"/>
    <w:rsid w:val="00DD0C36"/>
    <w:rsid w:val="00E02CDC"/>
    <w:rsid w:val="00E11DDD"/>
    <w:rsid w:val="00E156E1"/>
    <w:rsid w:val="00E26E89"/>
    <w:rsid w:val="00E63860"/>
    <w:rsid w:val="00E7046B"/>
    <w:rsid w:val="00E743C6"/>
    <w:rsid w:val="00F00B10"/>
    <w:rsid w:val="00F26CE7"/>
    <w:rsid w:val="00F30E0D"/>
    <w:rsid w:val="00F61B02"/>
    <w:rsid w:val="00FA76C1"/>
    <w:rsid w:val="00FB29F9"/>
    <w:rsid w:val="00FC6817"/>
    <w:rsid w:val="00FF74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6BE5"/>
  <w15:docId w15:val="{43DC927F-F11F-4D2A-B9F4-B00C2899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02"/>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3C02"/>
    <w:rPr>
      <w:lang w:val="hr-HR"/>
    </w:rPr>
  </w:style>
  <w:style w:type="paragraph" w:styleId="Footer">
    <w:name w:val="footer"/>
    <w:basedOn w:val="Normal"/>
    <w:link w:val="FooterChar"/>
    <w:uiPriority w:val="99"/>
    <w:unhideWhenUsed/>
    <w:rsid w:val="001D3C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3C02"/>
    <w:rPr>
      <w:lang w:val="hr-HR"/>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99"/>
    <w:qFormat/>
    <w:rsid w:val="001D3C02"/>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99"/>
    <w:qFormat/>
    <w:locked/>
    <w:rsid w:val="001D3C02"/>
    <w:rPr>
      <w:rFonts w:ascii="Times New Roman" w:eastAsia="Times New Roman" w:hAnsi="Times New Roman" w:cs="Times New Roman"/>
      <w:sz w:val="24"/>
      <w:szCs w:val="24"/>
      <w:lang w:val="it-IT" w:eastAsia="it-IT"/>
    </w:rPr>
  </w:style>
  <w:style w:type="character" w:customStyle="1" w:styleId="Bodytext285pt">
    <w:name w:val="Body text (2) + 8;5 pt"/>
    <w:basedOn w:val="DefaultParagraphFont"/>
    <w:rsid w:val="001D3C0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ListParagraph1">
    <w:name w:val="List Paragraph1"/>
    <w:basedOn w:val="Normal"/>
    <w:qFormat/>
    <w:rsid w:val="001D3C02"/>
    <w:pPr>
      <w:ind w:left="720"/>
      <w:contextualSpacing/>
    </w:pPr>
    <w:rPr>
      <w:rFonts w:ascii="Calibri" w:eastAsia="Calibri" w:hAnsi="Calibri" w:cs="Times New Roman"/>
      <w:lang w:val="en-US"/>
    </w:rPr>
  </w:style>
  <w:style w:type="paragraph" w:customStyle="1" w:styleId="ListParagraph3">
    <w:name w:val="List Paragraph3"/>
    <w:basedOn w:val="Normal"/>
    <w:qFormat/>
    <w:rsid w:val="001D3C02"/>
    <w:pPr>
      <w:ind w:left="720"/>
      <w:contextualSpacing/>
    </w:pPr>
    <w:rPr>
      <w:rFonts w:ascii="Calibri" w:eastAsia="Calibri" w:hAnsi="Calibri" w:cs="Times New Roman"/>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1D3C02"/>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1D3C02"/>
    <w:rPr>
      <w:rFonts w:ascii="Calibri" w:eastAsia="Calibri" w:hAnsi="Calibri"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1D3C02"/>
    <w:rPr>
      <w:vertAlign w:val="superscript"/>
    </w:rPr>
  </w:style>
  <w:style w:type="paragraph" w:customStyle="1" w:styleId="Char2">
    <w:name w:val="Char2"/>
    <w:basedOn w:val="Normal"/>
    <w:link w:val="FootnoteReference"/>
    <w:uiPriority w:val="99"/>
    <w:rsid w:val="001D3C02"/>
    <w:pPr>
      <w:spacing w:after="160" w:line="240" w:lineRule="exact"/>
    </w:pPr>
    <w:rPr>
      <w:vertAlign w:val="superscript"/>
      <w:lang w:val="en-US"/>
    </w:rPr>
  </w:style>
  <w:style w:type="paragraph" w:customStyle="1" w:styleId="ListParagraph2">
    <w:name w:val="List Paragraph2"/>
    <w:basedOn w:val="Normal"/>
    <w:qFormat/>
    <w:rsid w:val="001D3C02"/>
    <w:pPr>
      <w:ind w:left="720"/>
      <w:contextualSpacing/>
    </w:pPr>
    <w:rPr>
      <w:rFonts w:ascii="Calibri" w:eastAsia="Calibri" w:hAnsi="Calibri" w:cs="Times New Roman"/>
      <w:lang w:val="en-US"/>
    </w:rPr>
  </w:style>
  <w:style w:type="paragraph" w:styleId="CommentText">
    <w:name w:val="annotation text"/>
    <w:basedOn w:val="Normal"/>
    <w:link w:val="CommentTextChar"/>
    <w:uiPriority w:val="99"/>
    <w:unhideWhenUsed/>
    <w:rsid w:val="001D3C02"/>
    <w:pPr>
      <w:spacing w:line="240" w:lineRule="auto"/>
    </w:pPr>
    <w:rPr>
      <w:sz w:val="20"/>
      <w:szCs w:val="20"/>
    </w:rPr>
  </w:style>
  <w:style w:type="character" w:customStyle="1" w:styleId="CommentTextChar">
    <w:name w:val="Comment Text Char"/>
    <w:basedOn w:val="DefaultParagraphFont"/>
    <w:link w:val="CommentText"/>
    <w:uiPriority w:val="99"/>
    <w:rsid w:val="001D3C02"/>
    <w:rPr>
      <w:sz w:val="20"/>
      <w:szCs w:val="20"/>
      <w:lang w:val="hr-HR"/>
    </w:rPr>
  </w:style>
  <w:style w:type="character" w:styleId="CommentReference">
    <w:name w:val="annotation reference"/>
    <w:basedOn w:val="DefaultParagraphFont"/>
    <w:uiPriority w:val="99"/>
    <w:semiHidden/>
    <w:unhideWhenUsed/>
    <w:rsid w:val="003F1712"/>
    <w:rPr>
      <w:sz w:val="16"/>
      <w:szCs w:val="16"/>
    </w:rPr>
  </w:style>
  <w:style w:type="paragraph" w:styleId="CommentSubject">
    <w:name w:val="annotation subject"/>
    <w:basedOn w:val="CommentText"/>
    <w:next w:val="CommentText"/>
    <w:link w:val="CommentSubjectChar"/>
    <w:uiPriority w:val="99"/>
    <w:semiHidden/>
    <w:unhideWhenUsed/>
    <w:rsid w:val="003F1712"/>
    <w:rPr>
      <w:b/>
      <w:bCs/>
    </w:rPr>
  </w:style>
  <w:style w:type="character" w:customStyle="1" w:styleId="CommentSubjectChar">
    <w:name w:val="Comment Subject Char"/>
    <w:basedOn w:val="CommentTextChar"/>
    <w:link w:val="CommentSubject"/>
    <w:uiPriority w:val="99"/>
    <w:semiHidden/>
    <w:rsid w:val="003F1712"/>
    <w:rPr>
      <w:b/>
      <w:bCs/>
      <w:sz w:val="20"/>
      <w:szCs w:val="20"/>
      <w:lang w:val="hr-HR"/>
    </w:rPr>
  </w:style>
  <w:style w:type="paragraph" w:styleId="BalloonText">
    <w:name w:val="Balloon Text"/>
    <w:basedOn w:val="Normal"/>
    <w:link w:val="BalloonTextChar"/>
    <w:uiPriority w:val="99"/>
    <w:semiHidden/>
    <w:unhideWhenUsed/>
    <w:rsid w:val="003F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12"/>
    <w:rPr>
      <w:rFonts w:ascii="Tahoma" w:hAnsi="Tahoma" w:cs="Tahoma"/>
      <w:sz w:val="16"/>
      <w:szCs w:val="16"/>
      <w:lang w:val="hr-HR"/>
    </w:rPr>
  </w:style>
  <w:style w:type="paragraph" w:styleId="Revision">
    <w:name w:val="Revision"/>
    <w:hidden/>
    <w:uiPriority w:val="99"/>
    <w:semiHidden/>
    <w:rsid w:val="00D27DE5"/>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24">
      <w:bodyDiv w:val="1"/>
      <w:marLeft w:val="0"/>
      <w:marRight w:val="0"/>
      <w:marTop w:val="0"/>
      <w:marBottom w:val="0"/>
      <w:divBdr>
        <w:top w:val="none" w:sz="0" w:space="0" w:color="auto"/>
        <w:left w:val="none" w:sz="0" w:space="0" w:color="auto"/>
        <w:bottom w:val="none" w:sz="0" w:space="0" w:color="auto"/>
        <w:right w:val="none" w:sz="0" w:space="0" w:color="auto"/>
      </w:divBdr>
    </w:div>
    <w:div w:id="1794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040E-7D69-4F67-9756-40244073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4054</Words>
  <Characters>23112</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Doria Tonković</dc:creator>
  <cp:lastModifiedBy>Doria Tonković</cp:lastModifiedBy>
  <cp:revision>2</cp:revision>
  <dcterms:created xsi:type="dcterms:W3CDTF">2022-04-04T08:14:00Z</dcterms:created>
  <dcterms:modified xsi:type="dcterms:W3CDTF">2022-04-04T08:14:00Z</dcterms:modified>
</cp:coreProperties>
</file>