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68D41199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Zagreb,</w:t>
      </w:r>
      <w:r w:rsidR="00B472E3">
        <w:rPr>
          <w:rFonts w:asciiTheme="minorHAnsi" w:hAnsiTheme="minorHAnsi" w:cstheme="minorHAnsi"/>
        </w:rPr>
        <w:t xml:space="preserve"> </w:t>
      </w:r>
      <w:r w:rsidR="00ED502A">
        <w:rPr>
          <w:rFonts w:asciiTheme="minorHAnsi" w:hAnsiTheme="minorHAnsi" w:cstheme="minorHAnsi"/>
        </w:rPr>
        <w:t>01.03</w:t>
      </w:r>
      <w:r w:rsidR="00B472E3">
        <w:rPr>
          <w:rFonts w:asciiTheme="minorHAnsi" w:hAnsiTheme="minorHAnsi" w:cstheme="minorHAnsi"/>
        </w:rPr>
        <w:t>.202</w:t>
      </w:r>
      <w:r w:rsidR="00566AE4">
        <w:rPr>
          <w:rFonts w:asciiTheme="minorHAnsi" w:hAnsiTheme="minorHAnsi" w:cstheme="minorHAnsi"/>
        </w:rPr>
        <w:t>2</w:t>
      </w:r>
      <w:r w:rsidR="00B472E3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7CC30B14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1E4435">
        <w:rPr>
          <w:rFonts w:asciiTheme="minorHAnsi" w:hAnsiTheme="minorHAnsi" w:cstheme="minorHAnsi"/>
        </w:rPr>
        <w:t>broj</w:t>
      </w:r>
      <w:r w:rsidR="006B4F39">
        <w:rPr>
          <w:rFonts w:asciiTheme="minorHAnsi" w:hAnsiTheme="minorHAnsi" w:cstheme="minorHAnsi"/>
        </w:rPr>
        <w:t xml:space="preserve"> 25</w:t>
      </w:r>
      <w:r w:rsidR="00F13005">
        <w:rPr>
          <w:rFonts w:asciiTheme="minorHAnsi" w:hAnsiTheme="minorHAnsi" w:cstheme="minorHAnsi"/>
        </w:rPr>
        <w:t>/2022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ED502A" w:rsidRPr="00ED502A">
        <w:rPr>
          <w:rFonts w:asciiTheme="minorHAnsi" w:hAnsiTheme="minorHAnsi" w:cstheme="minorHAnsi"/>
        </w:rPr>
        <w:t>02.03</w:t>
      </w:r>
      <w:r w:rsidR="00566AE4" w:rsidRPr="00ED502A">
        <w:rPr>
          <w:rFonts w:asciiTheme="minorHAnsi" w:hAnsiTheme="minorHAnsi" w:cstheme="minorHAnsi"/>
        </w:rPr>
        <w:t>.2022.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2C6528C1" w14:textId="77777777" w:rsidR="00F66191" w:rsidRDefault="00F66191" w:rsidP="00B97924">
      <w:pPr>
        <w:jc w:val="both"/>
        <w:rPr>
          <w:rFonts w:asciiTheme="minorHAnsi" w:hAnsiTheme="minorHAnsi" w:cstheme="minorHAnsi"/>
        </w:rPr>
      </w:pPr>
    </w:p>
    <w:p w14:paraId="1E4DB0B2" w14:textId="666AFB73" w:rsidR="0065702D" w:rsidRDefault="0065702D" w:rsidP="005B4D9A">
      <w:pPr>
        <w:jc w:val="both"/>
        <w:rPr>
          <w:rFonts w:asciiTheme="minorHAnsi" w:hAnsiTheme="minorHAnsi" w:cstheme="minorHAnsi"/>
          <w:b/>
        </w:rPr>
      </w:pPr>
    </w:p>
    <w:p w14:paraId="0337C151" w14:textId="54ED8A8D" w:rsidR="002F079D" w:rsidRPr="00765DD2" w:rsidRDefault="002F079D" w:rsidP="002F07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8E1E5F">
        <w:rPr>
          <w:rFonts w:asciiTheme="minorHAnsi" w:hAnsiTheme="minorHAnsi" w:cstheme="minorHAnsi"/>
          <w:b/>
        </w:rPr>
        <w:t xml:space="preserve">) </w:t>
      </w:r>
      <w:r w:rsidRPr="001E20D7">
        <w:rPr>
          <w:rFonts w:asciiTheme="minorHAnsi" w:hAnsiTheme="minorHAnsi" w:cstheme="minorHAnsi"/>
          <w:b/>
        </w:rPr>
        <w:t>SEKTOR ZA VREDNOVANJE I UGOVARANJE PROJEKATA</w:t>
      </w:r>
    </w:p>
    <w:p w14:paraId="0CFFE3CC" w14:textId="77777777" w:rsidR="002F079D" w:rsidRPr="00765DD2" w:rsidRDefault="002F079D" w:rsidP="002F079D">
      <w:pPr>
        <w:jc w:val="both"/>
        <w:rPr>
          <w:rFonts w:asciiTheme="minorHAnsi" w:hAnsiTheme="minorHAnsi" w:cstheme="minorHAnsi"/>
          <w:b/>
        </w:rPr>
      </w:pPr>
      <w:r w:rsidRPr="00765DD2">
        <w:rPr>
          <w:rFonts w:asciiTheme="minorHAnsi" w:hAnsiTheme="minorHAnsi" w:cstheme="minorHAnsi"/>
          <w:b/>
        </w:rPr>
        <w:t>Služba za vrednovanje i ugovaranje projekata – Istraživanje, razvoj i inovacije (IRI)</w:t>
      </w:r>
    </w:p>
    <w:p w14:paraId="4FD2B266" w14:textId="77777777" w:rsidR="002F079D" w:rsidRPr="00765DD2" w:rsidRDefault="002F079D" w:rsidP="002F079D">
      <w:pPr>
        <w:jc w:val="both"/>
        <w:rPr>
          <w:rFonts w:asciiTheme="minorHAnsi" w:hAnsiTheme="minorHAnsi" w:cstheme="minorHAnsi"/>
          <w:b/>
        </w:rPr>
      </w:pPr>
      <w:r w:rsidRPr="00765DD2">
        <w:rPr>
          <w:rFonts w:asciiTheme="minorHAnsi" w:hAnsiTheme="minorHAnsi" w:cstheme="minorHAnsi"/>
          <w:b/>
        </w:rPr>
        <w:t>Odjel IV</w:t>
      </w:r>
    </w:p>
    <w:p w14:paraId="5FC8FB1D" w14:textId="77777777" w:rsidR="002F079D" w:rsidRDefault="002F079D" w:rsidP="002F079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>I/A ANALITIČAR/KA</w:t>
      </w:r>
    </w:p>
    <w:p w14:paraId="3C56718F" w14:textId="77777777" w:rsidR="002F079D" w:rsidRPr="004753B7" w:rsidRDefault="002F079D" w:rsidP="002F079D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Samostalno obavlja najsloženije poslove iz djelokruga rada Odjela, što uključuje i stručne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poslove koji se odnose na pripremu, provedbu i analizu godišnjih i više godišnjih planova rada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te predlaže rješenje problema, uz upute nadređenog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poboljšanje obavljanja poslova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Sudjeluje u izradi priručnika o internim procedurama i odgovarajućem revizijskom tragu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Sudjeluje u pripremi postupaka dodjele bespovratnih sredstava te, ukoliko je primjenjivo, u vezi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s time daje mišljenje na konačnu verziju dokumentacije za pojedini postupak dodjele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bespovratnih sredstava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sa Posredničkim tijelom razine 1 u izradi uputa za prijavitelje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projektnih prijedloga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pojedine dodjele i općeg načela dobrog financijskog upravljanja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za najsloženije projekte, a koji uključuje: provjeru prihvatljivosti prijavitelja, i ako je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primjenjivo, partnera, provjeru prihvatljivosti projekta i aktivnosti, ocjenu projektnih prijava,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provjeru prihvatljivosti izdataka, donošenje odluke o financiranju, eventualnu pripremu podloge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za rješavanje prigovora prijavitelja kao i za izradu ugovora o dodjeli bespovratnih sredstava, te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provedbi faza postupka dodjele bespovratnih sredstva u skladu sa delegiranim funkcijama. Potvrđuje, prije no što se operacija/projekt odobri, da korisnik ima kapacitete za ispunjavanje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rokove za izvršenje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dokumente s uvjetima za potporu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poštuje pravo primjenjivo na operaciju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Osigurava da operacije/projekti odabrani za potporu iz ESI fondova ne uključuju aktivnosti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koje su bile dio operacije koja je, ili je trebala biti, podložna postupku povrata sredstava nakon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promjene proizvodne aktivnosti izvan programskog područja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Agencije/koje koristi Agencija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Sudjeluje u radu Odbora za odabir projekata, kao član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revizijskog traga sukladno predviđenim procedurama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priručnicima koji reguliraju procedure vezano uz upravljanje nepravilnostima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djelokruga rada Odjela, priprema najsloženija izvješća i analize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Priprema i potvrđuje dokumente u skladu s procedurama Agencije</w:t>
      </w:r>
      <w:r>
        <w:rPr>
          <w:rFonts w:asciiTheme="minorHAnsi" w:hAnsiTheme="minorHAnsi" w:cstheme="minorHAnsi"/>
        </w:rPr>
        <w:t>. Ob</w:t>
      </w:r>
      <w:r w:rsidRPr="003F21D5">
        <w:rPr>
          <w:rFonts w:asciiTheme="minorHAnsi" w:hAnsiTheme="minorHAnsi" w:cstheme="minorHAnsi"/>
        </w:rPr>
        <w:t>avlja poslove usmene i pisane komunikacije s potencijalnim korisnicima i korisnicima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 xml:space="preserve">Redovito surađuje sa službenicima tijela iz </w:t>
      </w:r>
      <w:r w:rsidRPr="003F21D5">
        <w:rPr>
          <w:rFonts w:asciiTheme="minorHAnsi" w:hAnsiTheme="minorHAnsi" w:cstheme="minorHAnsi"/>
        </w:rPr>
        <w:lastRenderedPageBreak/>
        <w:t>sustava upravljanja i kontrole ESI Surađuje sa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>
        <w:rPr>
          <w:rFonts w:asciiTheme="minorHAnsi" w:hAnsiTheme="minorHAnsi" w:cstheme="minorHAnsi"/>
        </w:rPr>
        <w:t xml:space="preserve"> </w:t>
      </w:r>
      <w:r w:rsidRPr="003F21D5">
        <w:rPr>
          <w:rFonts w:asciiTheme="minorHAnsi" w:hAnsiTheme="minorHAnsi" w:cstheme="minorHAnsi"/>
        </w:rPr>
        <w:t>informacija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Obavlja poslove vezane uz mentorstvo novozaposlenih</w:t>
      </w:r>
      <w:r>
        <w:rPr>
          <w:rFonts w:asciiTheme="minorHAnsi" w:hAnsiTheme="minorHAnsi" w:cstheme="minorHAnsi"/>
        </w:rPr>
        <w:t xml:space="preserve">. </w:t>
      </w:r>
      <w:r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>
        <w:rPr>
          <w:rFonts w:asciiTheme="minorHAnsi" w:hAnsiTheme="minorHAnsi" w:cstheme="minorHAnsi"/>
        </w:rPr>
        <w:t>.</w:t>
      </w:r>
    </w:p>
    <w:p w14:paraId="5471557A" w14:textId="3F9A3DD4" w:rsidR="0065702D" w:rsidRDefault="0065702D" w:rsidP="005B4D9A">
      <w:pPr>
        <w:jc w:val="both"/>
        <w:rPr>
          <w:rFonts w:asciiTheme="minorHAnsi" w:hAnsiTheme="minorHAnsi" w:cstheme="minorHAnsi"/>
        </w:rPr>
      </w:pPr>
    </w:p>
    <w:p w14:paraId="63AC8FFB" w14:textId="77777777" w:rsidR="00E577A7" w:rsidRPr="00E602CA" w:rsidRDefault="00E577A7" w:rsidP="00E577A7">
      <w:pPr>
        <w:rPr>
          <w:u w:val="single"/>
        </w:rPr>
      </w:pPr>
      <w:r w:rsidRPr="00E602CA">
        <w:rPr>
          <w:u w:val="single"/>
        </w:rPr>
        <w:t>Pravni i drugi izvori za pripremanje kandidata za pismeno testiranje i/ili usmeni razgovor za radno mjesto u Sektoru za vrednovanje i ugovaranje projekata:</w:t>
      </w:r>
    </w:p>
    <w:p w14:paraId="6E1C8A04" w14:textId="77777777" w:rsidR="00E577A7" w:rsidRPr="00E602CA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 w:rsidRPr="00E602CA">
        <w:rPr>
          <w:rFonts w:eastAsia="Times New Roman"/>
        </w:rPr>
        <w:t>Operativni program Konkurentnost i kohezija 20214.-2020. (OPKK)</w:t>
      </w:r>
    </w:p>
    <w:p w14:paraId="57E7A2A1" w14:textId="77777777" w:rsidR="00E577A7" w:rsidRPr="00E602CA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 w:rsidRPr="00E602CA">
        <w:rPr>
          <w:rFonts w:eastAsia="Times New Roman"/>
        </w:rPr>
        <w:t>Zakon o uspostavi institucionalnog okvira za provedbu ESIF-a u RH u financijskom razdoblju 2014.-2020. (NN 92/14)</w:t>
      </w:r>
    </w:p>
    <w:p w14:paraId="6C56D8F8" w14:textId="77777777" w:rsidR="00E577A7" w:rsidRPr="00E602CA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 w:rsidRPr="00E602CA">
        <w:rPr>
          <w:rFonts w:eastAsia="Times New Roman"/>
        </w:rPr>
        <w:t>Zakon o državnim potporama (NN 47/14, 69/17)</w:t>
      </w:r>
    </w:p>
    <w:p w14:paraId="5ACEA42B" w14:textId="77777777" w:rsidR="00E577A7" w:rsidRPr="00E602CA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 w:rsidRPr="00E602CA">
        <w:rPr>
          <w:rFonts w:eastAsia="Times New Roman"/>
        </w:rPr>
        <w:t>Zakon o poticanju razvoja malog gospodarstva (NN 29/02, 63/07, 53/12, 56/13, 121/16)</w:t>
      </w:r>
    </w:p>
    <w:p w14:paraId="447CEC0C" w14:textId="77777777" w:rsidR="00E577A7" w:rsidRPr="00E602CA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 w:rsidRPr="00E602CA">
        <w:rPr>
          <w:rFonts w:eastAsia="Times New Roman"/>
        </w:rPr>
        <w:t>UREDBA KOMISIJE (EU) br. 651/2014 оd 17. lipnja 2014. o ocjenjivanju određenih kategorija potpora spojivima s unutarnjim tržištem u primjeni članaka 107. i 108. Ugovora i Uredba Komisije (EU) 2017/1084 od 14. lipnja 2017. godine o izmjeni Uredbe (EU) br. 651/2014</w:t>
      </w:r>
    </w:p>
    <w:p w14:paraId="07786DD1" w14:textId="77777777" w:rsidR="00E577A7" w:rsidRPr="00E602CA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 w:rsidRPr="00E602CA">
        <w:rPr>
          <w:rFonts w:eastAsia="Times New Roman"/>
        </w:rPr>
        <w:t>UREDBA KOMISIJE (EU) br. 1407/2013 оd 18. prosinca 2013. o primjeni članaka 107. i 108. Ugovora o funkcioniranju Europske unije na de minimis potpore</w:t>
      </w:r>
    </w:p>
    <w:p w14:paraId="32199C28" w14:textId="77777777" w:rsidR="00E577A7" w:rsidRPr="00E602CA" w:rsidRDefault="006B4F39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hyperlink r:id="rId8" w:history="1">
        <w:r w:rsidR="00E577A7" w:rsidRPr="00E602CA">
          <w:rPr>
            <w:rStyle w:val="Hiperveza"/>
            <w:rFonts w:eastAsia="Times New Roman"/>
          </w:rPr>
          <w:t>Nacionalni plan oporavka i otpornosti</w:t>
        </w:r>
      </w:hyperlink>
      <w:r w:rsidR="00E577A7" w:rsidRPr="00E602CA">
        <w:rPr>
          <w:rFonts w:eastAsia="Times New Roman"/>
        </w:rPr>
        <w:t xml:space="preserve"> 2021. - 2026. (NPOO), Komponenta 1: Gospodarstvo i Komponenta 3. Obrazovanje, znanost i istraživanje</w:t>
      </w:r>
    </w:p>
    <w:p w14:paraId="1B886AF9" w14:textId="77777777" w:rsidR="00E577A7" w:rsidRPr="00E602CA" w:rsidRDefault="00E577A7" w:rsidP="00E577A7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r w:rsidRPr="00E602CA">
        <w:rPr>
          <w:rFonts w:eastAsia="Times New Roman"/>
        </w:rPr>
        <w:t>Uredba o tijelima u sustavima upravljanja i kontrole korištenja Europskog socijalnog fonda, Europskog fonda za regionalni razvoj i Kohezijskog fonda, u vezi s ciljem „Ulaganje za rast i radna mjesta“  (NN 107/14, 23/15, 129/15, 15/17, 18/17 - ispravak, 46/21 i 49/21))</w:t>
      </w:r>
    </w:p>
    <w:p w14:paraId="5B7C8E06" w14:textId="77777777" w:rsidR="00E577A7" w:rsidRPr="00E602CA" w:rsidRDefault="006B4F39" w:rsidP="00E577A7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hyperlink r:id="rId9" w:history="1">
        <w:r w:rsidR="00E577A7" w:rsidRPr="00E602CA">
          <w:rPr>
            <w:rStyle w:val="Hiperveza"/>
            <w:rFonts w:eastAsia="Times New Roman"/>
          </w:rPr>
          <w:t>Statut Hrvatske agencije za malo gospodarstvo, inovacije i investicije</w:t>
        </w:r>
      </w:hyperlink>
    </w:p>
    <w:p w14:paraId="54616587" w14:textId="77777777" w:rsidR="00E577A7" w:rsidRPr="00E602CA" w:rsidRDefault="00E577A7" w:rsidP="00E577A7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r w:rsidRPr="00E602CA">
        <w:rPr>
          <w:rFonts w:eastAsia="Times New Roman"/>
        </w:rPr>
        <w:t>Pravilnik o prihvatljivosti izdataka (NN 115/18, 6/20, 20/20 – ispravak, 70/20)</w:t>
      </w:r>
    </w:p>
    <w:p w14:paraId="3780D4B8" w14:textId="77777777" w:rsidR="00E577A7" w:rsidRPr="00E602CA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 w:rsidRPr="00E602CA">
        <w:rPr>
          <w:rFonts w:eastAsia="Times New Roman"/>
        </w:rPr>
        <w:t>Informacije s internet stranice eFondovi (naglasak na pozive iz područja 'malo i srednje poduzetništvo' te 'istraživanje, tehnološki razvoj i inovacije')</w:t>
      </w:r>
    </w:p>
    <w:p w14:paraId="646D672A" w14:textId="77777777" w:rsidR="00E577A7" w:rsidRPr="00E602CA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 w:rsidRPr="00E602CA">
        <w:rPr>
          <w:rFonts w:eastAsia="Times New Roman"/>
        </w:rPr>
        <w:t xml:space="preserve">Informacije s internet stranice </w:t>
      </w:r>
      <w:hyperlink r:id="rId10" w:history="1">
        <w:r w:rsidRPr="00E602CA">
          <w:rPr>
            <w:rStyle w:val="Hiperveza"/>
            <w:rFonts w:eastAsia="Times New Roman"/>
          </w:rPr>
          <w:t>http://www.strukturnifondovi.hr/</w:t>
        </w:r>
      </w:hyperlink>
      <w:r w:rsidRPr="00E602CA">
        <w:rPr>
          <w:rFonts w:eastAsia="Times New Roman"/>
        </w:rPr>
        <w:t xml:space="preserve"> </w:t>
      </w:r>
    </w:p>
    <w:p w14:paraId="1B42D592" w14:textId="6E07F690" w:rsidR="00E577A7" w:rsidRDefault="00E577A7" w:rsidP="005B4D9A">
      <w:pPr>
        <w:jc w:val="both"/>
        <w:rPr>
          <w:rFonts w:asciiTheme="minorHAnsi" w:hAnsiTheme="minorHAnsi" w:cstheme="minorHAnsi"/>
        </w:rPr>
      </w:pPr>
    </w:p>
    <w:p w14:paraId="428AD8D1" w14:textId="3FD92F02" w:rsidR="00E577A7" w:rsidRDefault="00E577A7" w:rsidP="005B4D9A">
      <w:pPr>
        <w:jc w:val="both"/>
        <w:rPr>
          <w:rFonts w:asciiTheme="minorHAnsi" w:hAnsiTheme="minorHAnsi" w:cstheme="minorHAnsi"/>
        </w:rPr>
      </w:pPr>
    </w:p>
    <w:p w14:paraId="09ED30BA" w14:textId="77777777" w:rsidR="00F66191" w:rsidRDefault="00F66191" w:rsidP="005B4D9A">
      <w:pPr>
        <w:jc w:val="both"/>
        <w:rPr>
          <w:rFonts w:asciiTheme="minorHAnsi" w:hAnsiTheme="minorHAnsi" w:cstheme="minorHAnsi"/>
        </w:rPr>
      </w:pPr>
    </w:p>
    <w:p w14:paraId="13D63444" w14:textId="4DD9CD78" w:rsidR="002F079D" w:rsidRPr="00765DD2" w:rsidRDefault="002F079D" w:rsidP="002F079D">
      <w:pPr>
        <w:jc w:val="both"/>
        <w:rPr>
          <w:rFonts w:asciiTheme="minorHAnsi" w:hAnsiTheme="minorHAnsi" w:cstheme="minorHAnsi"/>
          <w:b/>
        </w:rPr>
      </w:pPr>
      <w:r w:rsidRPr="00765DD2">
        <w:rPr>
          <w:rFonts w:asciiTheme="minorHAnsi" w:hAnsiTheme="minorHAnsi" w:cstheme="minorHAnsi"/>
          <w:b/>
        </w:rPr>
        <w:t>B) SLUŽB</w:t>
      </w:r>
      <w:r>
        <w:rPr>
          <w:rFonts w:asciiTheme="minorHAnsi" w:hAnsiTheme="minorHAnsi" w:cstheme="minorHAnsi"/>
          <w:b/>
        </w:rPr>
        <w:t>A</w:t>
      </w:r>
      <w:r w:rsidRPr="00765DD2">
        <w:rPr>
          <w:rFonts w:asciiTheme="minorHAnsi" w:hAnsiTheme="minorHAnsi" w:cstheme="minorHAnsi"/>
          <w:b/>
        </w:rPr>
        <w:t xml:space="preserve"> ZA FINANCIJE I RAČUNOVODSTVO</w:t>
      </w:r>
    </w:p>
    <w:p w14:paraId="1B9FD3A5" w14:textId="77777777" w:rsidR="002F079D" w:rsidRPr="00192003" w:rsidRDefault="002F079D" w:rsidP="002F079D">
      <w:pPr>
        <w:jc w:val="both"/>
        <w:rPr>
          <w:rFonts w:asciiTheme="minorHAnsi" w:hAnsiTheme="minorHAnsi" w:cstheme="minorHAnsi"/>
          <w:b/>
        </w:rPr>
      </w:pPr>
      <w:r w:rsidRPr="00765DD2">
        <w:rPr>
          <w:rFonts w:asciiTheme="minorHAnsi" w:hAnsiTheme="minorHAnsi" w:cstheme="minorHAnsi"/>
          <w:b/>
        </w:rPr>
        <w:t>Odjel za financije – Financijski instrumenti</w:t>
      </w:r>
    </w:p>
    <w:p w14:paraId="7A920AAF" w14:textId="77777777" w:rsidR="002F079D" w:rsidRPr="002F079D" w:rsidRDefault="002F079D" w:rsidP="00E2240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2F079D">
        <w:rPr>
          <w:rFonts w:asciiTheme="minorHAnsi" w:hAnsiTheme="minorHAnsi" w:cstheme="minorHAnsi"/>
          <w:b/>
        </w:rPr>
        <w:t xml:space="preserve">NIŽI/A ANALITIČAR/KA </w:t>
      </w:r>
    </w:p>
    <w:p w14:paraId="2579F844" w14:textId="3B2AC19D" w:rsidR="002F079D" w:rsidRDefault="002D1668" w:rsidP="002F079D">
      <w:pPr>
        <w:pStyle w:val="Odlomakpopisa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Opis poslova</w:t>
      </w:r>
      <w:r w:rsidR="002F079D" w:rsidRPr="002F079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Cs/>
        </w:rPr>
        <w:t>sudjeluje u obavljanju stručnih poslova iz djelokruga rada Odjela, uz redoviti nadzor i upute nadređenog. Odgovoran je za točno i pravovremeno računovodstveno evidentiranje nastalih poslovnih događaja vezano uz ugovore o financijskim instrumentima. Obavlja bilančna i vanbilančna knjiženja svih poslovnih događaja. Odgovoran je za prikupljanje, unos, pohranjivanje i razvrstavanje podataka koji proizlaze iz poslovnih procesa u nadležnosti Odjela, a unose se u informacijske sustave Agencije</w:t>
      </w:r>
      <w:r w:rsidR="0093556D">
        <w:rPr>
          <w:rFonts w:asciiTheme="minorHAnsi" w:hAnsiTheme="minorHAnsi" w:cstheme="minorHAnsi"/>
          <w:bCs/>
        </w:rPr>
        <w:t>/koje koristi Agencija. U slučaju da uoči potencijalnu nepravilnost, bez odgode postupa u skladu  s važećim priručnicima koji reguliraju procedure vezano uz upravljanje nepravilnostima. Sudjeluje u procjeni i definiranju rizika za poslove u svojoj nadležnosti. Osigurava čuvanje dokumenata i evidencija o provedbi funkcija radi osiguravanja odgovarajućeg revizijskog traga. Surađuje sa službenicima Upravljačkog tijela i po potrebi s drugim sektorski nadležnim tijelima. Surađuje sa djelatnicima unutar Agencije i povremeno izvan Agencije radi prikupljanja ili razmjene informacija. Prati računovodstvene, knjigovodstvene i porezne propise. Surađuje sa djelatnicima unutar Agencije i povremeno izvan Agencije radi prikupljanja ili razmjene informacija. Obavlja ostale poslove i zadatke po nalogu voditelja Odjela/Službe i Uprave.</w:t>
      </w:r>
    </w:p>
    <w:p w14:paraId="7877D08C" w14:textId="3FD1ACF7" w:rsidR="002D1668" w:rsidRDefault="002D1668" w:rsidP="0093556D">
      <w:pPr>
        <w:jc w:val="both"/>
        <w:rPr>
          <w:rFonts w:asciiTheme="minorHAnsi" w:hAnsiTheme="minorHAnsi" w:cstheme="minorHAnsi"/>
          <w:bCs/>
        </w:rPr>
      </w:pPr>
    </w:p>
    <w:p w14:paraId="2EFE3540" w14:textId="58E714C9" w:rsidR="00ED68FE" w:rsidRPr="00E602CA" w:rsidRDefault="00ED68FE" w:rsidP="00ED68FE">
      <w:pPr>
        <w:jc w:val="both"/>
        <w:rPr>
          <w:rFonts w:asciiTheme="minorHAnsi" w:hAnsiTheme="minorHAnsi" w:cstheme="minorHAnsi"/>
          <w:bCs/>
        </w:rPr>
      </w:pPr>
      <w:r w:rsidRPr="00E602CA">
        <w:rPr>
          <w:u w:val="single"/>
        </w:rPr>
        <w:t>Pravni i drugi izvori za pripremanje kandidata za pismeno testiranje i/ili usmeni razgovor</w:t>
      </w:r>
      <w:r w:rsidRPr="00E602CA">
        <w:rPr>
          <w:rFonts w:asciiTheme="minorHAnsi" w:hAnsiTheme="minorHAnsi" w:cstheme="minorHAnsi"/>
          <w:bCs/>
        </w:rPr>
        <w:t xml:space="preserve"> </w:t>
      </w:r>
      <w:r w:rsidRPr="00E602CA">
        <w:rPr>
          <w:rFonts w:asciiTheme="minorHAnsi" w:hAnsiTheme="minorHAnsi" w:cstheme="minorHAnsi"/>
          <w:u w:val="single"/>
        </w:rPr>
        <w:t>za radno mjesto u Službi za financije i računovodstvo:</w:t>
      </w:r>
    </w:p>
    <w:p w14:paraId="34878D39" w14:textId="77777777" w:rsidR="00E602CA" w:rsidRPr="00E602CA" w:rsidRDefault="00E602CA" w:rsidP="00E602CA">
      <w:pPr>
        <w:pStyle w:val="Odlomakpopisa"/>
        <w:numPr>
          <w:ilvl w:val="0"/>
          <w:numId w:val="30"/>
        </w:numPr>
        <w:jc w:val="both"/>
        <w:rPr>
          <w:rFonts w:eastAsia="Times New Roman"/>
        </w:rPr>
      </w:pPr>
      <w:r w:rsidRPr="00E602CA">
        <w:rPr>
          <w:rFonts w:eastAsia="Times New Roman"/>
        </w:rPr>
        <w:t>Informacije s weba HAMAG-BICRO-a (naglasak na Financijske instrumente – Zajmovi i Jamstva)</w:t>
      </w:r>
    </w:p>
    <w:p w14:paraId="4F418964" w14:textId="77777777" w:rsidR="00E602CA" w:rsidRPr="00E602CA" w:rsidRDefault="00E602CA" w:rsidP="00E602CA">
      <w:pPr>
        <w:pStyle w:val="Odlomakpopisa"/>
        <w:numPr>
          <w:ilvl w:val="0"/>
          <w:numId w:val="30"/>
        </w:numPr>
        <w:jc w:val="both"/>
        <w:rPr>
          <w:rFonts w:eastAsia="Times New Roman"/>
        </w:rPr>
      </w:pPr>
      <w:r w:rsidRPr="00E602CA">
        <w:rPr>
          <w:rFonts w:eastAsia="Times New Roman"/>
        </w:rPr>
        <w:t>Zakon o proračunu NN 144/2021</w:t>
      </w:r>
    </w:p>
    <w:p w14:paraId="20409852" w14:textId="77777777" w:rsidR="00E602CA" w:rsidRPr="00E602CA" w:rsidRDefault="00E602CA" w:rsidP="00E602CA">
      <w:pPr>
        <w:pStyle w:val="Odlomakpopisa"/>
        <w:numPr>
          <w:ilvl w:val="0"/>
          <w:numId w:val="30"/>
        </w:numPr>
        <w:jc w:val="both"/>
        <w:rPr>
          <w:rFonts w:eastAsia="Times New Roman"/>
        </w:rPr>
      </w:pPr>
      <w:r w:rsidRPr="00E602CA">
        <w:rPr>
          <w:rFonts w:eastAsia="Times New Roman"/>
        </w:rPr>
        <w:lastRenderedPageBreak/>
        <w:t>Pravilnik o proračunskom računovodstvu i računskom planu „NN 124/14 i 108/20</w:t>
      </w:r>
    </w:p>
    <w:p w14:paraId="2B531FF8" w14:textId="77777777" w:rsidR="00ED68FE" w:rsidRPr="0093556D" w:rsidRDefault="00ED68FE" w:rsidP="0093556D">
      <w:pPr>
        <w:jc w:val="both"/>
        <w:rPr>
          <w:rFonts w:asciiTheme="minorHAnsi" w:hAnsiTheme="minorHAnsi" w:cstheme="minorHAnsi"/>
          <w:bCs/>
        </w:rPr>
      </w:pPr>
    </w:p>
    <w:p w14:paraId="53360385" w14:textId="6B73109B" w:rsidR="002F079D" w:rsidRDefault="002F079D" w:rsidP="002F079D">
      <w:pPr>
        <w:jc w:val="both"/>
        <w:rPr>
          <w:rFonts w:asciiTheme="minorHAnsi" w:hAnsiTheme="minorHAnsi" w:cstheme="minorHAnsi"/>
          <w:bCs/>
        </w:rPr>
      </w:pPr>
    </w:p>
    <w:p w14:paraId="3850FDA0" w14:textId="77777777" w:rsidR="00F66191" w:rsidRDefault="00F66191" w:rsidP="002F079D">
      <w:pPr>
        <w:jc w:val="both"/>
        <w:rPr>
          <w:rFonts w:asciiTheme="minorHAnsi" w:hAnsiTheme="minorHAnsi" w:cstheme="minorHAnsi"/>
          <w:bCs/>
        </w:rPr>
      </w:pPr>
    </w:p>
    <w:p w14:paraId="5A31F5B5" w14:textId="77777777" w:rsidR="002F079D" w:rsidRPr="00192003" w:rsidRDefault="002F079D" w:rsidP="002F079D">
      <w:pPr>
        <w:jc w:val="both"/>
        <w:rPr>
          <w:rFonts w:asciiTheme="minorHAnsi" w:hAnsiTheme="minorHAnsi" w:cstheme="minorHAnsi"/>
          <w:b/>
        </w:rPr>
      </w:pPr>
      <w:r w:rsidRPr="00192003">
        <w:rPr>
          <w:rFonts w:asciiTheme="minorHAnsi" w:hAnsiTheme="minorHAnsi" w:cstheme="minorHAnsi"/>
          <w:b/>
        </w:rPr>
        <w:t>C) SLUŽBI ZA GRAĐEVINSKO-TEHNIČKE ANALIZE I PROVJERE</w:t>
      </w:r>
    </w:p>
    <w:p w14:paraId="3CC75AFC" w14:textId="77777777" w:rsidR="0093556D" w:rsidRPr="0093556D" w:rsidRDefault="002F079D" w:rsidP="00F4137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3556D">
        <w:rPr>
          <w:rFonts w:asciiTheme="minorHAnsi" w:hAnsiTheme="minorHAnsi" w:cstheme="minorHAnsi"/>
          <w:b/>
        </w:rPr>
        <w:t xml:space="preserve">VIŠI/A ANALITIČAR/KA </w:t>
      </w:r>
    </w:p>
    <w:p w14:paraId="4FBAFD87" w14:textId="77777777" w:rsidR="00091ECE" w:rsidRPr="00091ECE" w:rsidRDefault="0093556D" w:rsidP="00091ECE">
      <w:pPr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="002F079D" w:rsidRPr="0093556D">
        <w:rPr>
          <w:rFonts w:asciiTheme="minorHAnsi" w:hAnsiTheme="minorHAnsi" w:cstheme="minorHAnsi"/>
        </w:rPr>
        <w:t xml:space="preserve">: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Samostalno obavlja najsloženije poslove u radu Službe, prema nalogu i uputama Voditelja</w:t>
      </w:r>
      <w:r w:rsidR="00A25CA8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Službe</w:t>
      </w:r>
      <w:r w:rsidR="00A25CA8" w:rsidRPr="00A25CA8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U suradnji s voditeljem Službe planira aktivnosti kako bi se osiguralo njihovo kvalitetno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pravovremeno provođenje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Izvještava nadređene o stanju izvršavanja poslova u Službi i predlaže mjere i aktivnosti za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poboljšanje obavljanja poslova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Provjerava da su sufinancirani radovi isporučeni te da su u skladu s primjenjivim pravom, s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operativnim programom i da ispunjavaju uvjete kojima se podržava operacija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Sudjeluje u administrativnim provjerama pregledava, vrši analizu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prihvatljivosti i daje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mišljenje na dostavljene privremene ili okončane mjesečne situacije u zahtjevima za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nadoknadom sredstava koje sadrže građevinsku komponentu radova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Sudjeluje u provjerama na licu mjesta odnosno prati operativne planove izvođenja radova 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njihovu kvalitetu te provjerava da izvršenost radova korespondira sa dostavljenim zahtjevima za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plaćanje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Provjerava glavne projekte, tehničke specifikacije, troškovnike i nacrte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Provjerava rad projektanata, nadzornih inženjera 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izvođače radova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Sudjeluje u provjeri dokumentacije o nabavi radova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Po potrebi, sudjeluje u izradi izmjena ugovora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Sudjeluje u izradi priručnika o internim procedurama i odgovarajućem revizijskom tragu, u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dijelu iz svoje nadležnosti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druge složenije stručne poslove koji obuhvaćaju proučavanje i analizu dokumentacije,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pripremu planova, predlaganje rješenja problema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U slučaju da uoči potencijalnu nepravilnost, bez odgode postupa u skladu s važećim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priručnicima koji reguliraju procedure vezano uz upravljanje nepravilnostima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Sudjeluje u upravljanju rizicima na razini operacija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Odgovoran je za prikupljanje, unos, pohranjivanje i razvrstavanje podataka koji proizlaze iz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poslovnih procesa u nadležnosti Službe, a unose se u informacijske sustave Agencije/koje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koristi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Agencija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Osigurava čuvanje dokumenata i evidencija o provedbi funkcija radi osiguravanja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odgovarajućeg revizijskog traga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poslove usmene i pisane komunikacije s korisnicima ili potencijalnim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korisnicima/krajnjim primateljima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Surađuje sa službenicima tijela iz sustava upravljanja i kontrole ESI fondova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Surađuje sa ostalim organizacijskim jedinicama, daje prijedloge i stručna mišljenja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Predlaže nove procese i načine rada te izmjenu postojećih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poslove mentorstva novozaposlenih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ostale poslove i zadatke po nalogu voditelja Službe i Uprave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091ECE" w:rsidRPr="00F8199D">
        <w:rPr>
          <w:rFonts w:asciiTheme="minorHAnsi" w:eastAsia="Times New Roman" w:hAnsiTheme="minorHAnsi" w:cstheme="minorHAnsi"/>
          <w:color w:val="000000"/>
        </w:rPr>
        <w:t xml:space="preserve">Obavlja i ostale stručne poslove iz svog djelokruga rada a 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koje se </w:t>
      </w:r>
      <w:r w:rsidR="00091ECE" w:rsidRPr="00F8199D">
        <w:rPr>
          <w:rFonts w:asciiTheme="minorHAnsi" w:eastAsia="Times New Roman" w:hAnsiTheme="minorHAnsi" w:cstheme="minorHAnsi"/>
          <w:color w:val="000000"/>
        </w:rPr>
        <w:t>odnose rad agencije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="00091ECE">
        <w:rPr>
          <w:rFonts w:asciiTheme="minorHAnsi" w:eastAsia="Times New Roman" w:hAnsiTheme="minorHAnsi" w:cstheme="minorHAnsi"/>
        </w:rPr>
        <w:t xml:space="preserve"> </w:t>
      </w:r>
    </w:p>
    <w:p w14:paraId="72448868" w14:textId="4C878D73" w:rsidR="00A25CA8" w:rsidRPr="00B27D8B" w:rsidRDefault="00A25CA8" w:rsidP="00F8199D">
      <w:pPr>
        <w:pStyle w:val="Odlomakpopisa"/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B27D8B">
        <w:rPr>
          <w:rFonts w:asciiTheme="minorHAnsi" w:eastAsia="Times New Roman" w:hAnsiTheme="minorHAnsi" w:cstheme="minorHAnsi"/>
          <w:color w:val="000000"/>
        </w:rPr>
        <w:br/>
      </w:r>
    </w:p>
    <w:p w14:paraId="3E30246A" w14:textId="77777777" w:rsidR="002F079D" w:rsidRDefault="002F079D" w:rsidP="002F079D">
      <w:pPr>
        <w:jc w:val="both"/>
        <w:rPr>
          <w:rFonts w:asciiTheme="minorHAnsi" w:hAnsiTheme="minorHAnsi" w:cstheme="minorHAnsi"/>
        </w:rPr>
      </w:pPr>
    </w:p>
    <w:p w14:paraId="57F1D06C" w14:textId="02CA69AF" w:rsidR="002F079D" w:rsidRPr="00F8199D" w:rsidRDefault="002F079D" w:rsidP="002F079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>I/A ANALITIČAR/KA</w:t>
      </w:r>
      <w:r>
        <w:rPr>
          <w:rFonts w:asciiTheme="minorHAnsi" w:hAnsiTheme="minorHAnsi" w:cstheme="minorHAnsi"/>
          <w:b/>
        </w:rPr>
        <w:t xml:space="preserve"> (FI)</w:t>
      </w:r>
      <w:r w:rsidRPr="004525F3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1</w:t>
      </w:r>
      <w:r w:rsidRPr="004525F3">
        <w:rPr>
          <w:rFonts w:asciiTheme="minorHAnsi" w:hAnsiTheme="minorHAnsi" w:cstheme="minorHAnsi"/>
          <w:b/>
        </w:rPr>
        <w:t xml:space="preserve"> izvršitelj/ic</w:t>
      </w:r>
      <w:r>
        <w:rPr>
          <w:rFonts w:asciiTheme="minorHAnsi" w:hAnsiTheme="minorHAnsi" w:cstheme="minorHAnsi"/>
          <w:b/>
        </w:rPr>
        <w:t>a</w:t>
      </w:r>
      <w:r w:rsidRPr="004525F3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2A450491" w14:textId="3D5A01BA" w:rsidR="00F8199D" w:rsidRPr="00091ECE" w:rsidRDefault="00F8199D" w:rsidP="00091ECE">
      <w:pPr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 xml:space="preserve">: </w:t>
      </w:r>
      <w:r w:rsidRPr="008A2AB4">
        <w:rPr>
          <w:rFonts w:asciiTheme="minorHAnsi" w:eastAsia="Times New Roman" w:hAnsiTheme="minorHAnsi" w:cstheme="minorHAnsi"/>
          <w:color w:val="000000"/>
        </w:rPr>
        <w:t>Samostalno obavlja najsloženije poslove u radu Službe, prema nalogu i uputama Voditelja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8A2AB4">
        <w:rPr>
          <w:rFonts w:asciiTheme="minorHAnsi" w:eastAsia="Times New Roman" w:hAnsiTheme="minorHAnsi" w:cstheme="minorHAnsi"/>
          <w:color w:val="000000"/>
        </w:rPr>
        <w:t>Službe</w:t>
      </w:r>
      <w:r w:rsidRPr="00A25CA8">
        <w:rPr>
          <w:rFonts w:asciiTheme="minorHAnsi" w:eastAsia="Times New Roman" w:hAnsiTheme="minorHAnsi" w:cstheme="minorHAnsi"/>
          <w:color w:val="000000"/>
        </w:rPr>
        <w:t xml:space="preserve">. </w:t>
      </w:r>
      <w:r w:rsidRPr="008A2AB4">
        <w:rPr>
          <w:rFonts w:asciiTheme="minorHAnsi" w:eastAsia="Times New Roman" w:hAnsiTheme="minorHAnsi" w:cstheme="minorHAnsi"/>
          <w:color w:val="000000"/>
        </w:rPr>
        <w:t>U suradnji s voditeljem Službe planira aktivnosti kako bi se osiguralo njihovo kvalitetno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8A2AB4">
        <w:rPr>
          <w:rFonts w:asciiTheme="minorHAnsi" w:eastAsia="Times New Roman" w:hAnsiTheme="minorHAnsi" w:cstheme="minorHAnsi"/>
          <w:color w:val="000000"/>
        </w:rPr>
        <w:t>i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8A2AB4">
        <w:rPr>
          <w:rFonts w:asciiTheme="minorHAnsi" w:eastAsia="Times New Roman" w:hAnsiTheme="minorHAnsi" w:cstheme="minorHAnsi"/>
          <w:color w:val="000000"/>
        </w:rPr>
        <w:t>pravovremeno provođenje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Pr="008A2AB4">
        <w:rPr>
          <w:rFonts w:asciiTheme="minorHAnsi" w:eastAsia="Times New Roman" w:hAnsiTheme="minorHAnsi" w:cstheme="minorHAnsi"/>
          <w:color w:val="000000"/>
        </w:rPr>
        <w:t>Izvještava nadređene o stanju izvršavanja poslova u Službi i predlaže mjere i aktivnosti za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8A2AB4">
        <w:rPr>
          <w:rFonts w:asciiTheme="minorHAnsi" w:eastAsia="Times New Roman" w:hAnsiTheme="minorHAnsi" w:cstheme="minorHAnsi"/>
          <w:color w:val="000000"/>
        </w:rPr>
        <w:t>poboljšanje obavljanja poslova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Pregledava tehničku dokumentaciju, opravdanosti troškova i daje pismeno mišljenja na istu u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zahtjevima za jamstvo i zahtjevima za zajam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Pregledava tehničku i financijsku dokumentaciju završenih projekata te daje pismeno izvješće o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namjenskoj kontroli korištenja istih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Daje smjernice i predlaže rješenja u cilju upotpunjavanja propisane tehničke i financijske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dokumentacije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Sudjeluje u planiranju ii provođenju terenske kontrole u cilju utvrđivanja stvarno izvedenih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radova i isporučenih roba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Obavlja druge složenije stručne poslove koji obuhvaćaju proučavanje i analizu dokumentacije,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pripremu planova, predlaganje rješenja problema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U slučaju da uoči potencijalnu nepravilnost, bez odgode postupa u skladu s važećim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priručnicima koji reguliraju procedure vezano uz upravljanje nepravilnostima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Odgovoran je za prikupljanje, unos, pohranjivanje i razvrstavanje podataka koji proizlaze iz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poslovnih procesa u nadležnosti Službe, a unose se u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informacijske sustave Agencije/koje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koristi Agencija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Osigurava čuvanje dokumenata i evidencija o provedbi funkcija radi osiguravanja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odgovarajućeg revizijskog traga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lastRenderedPageBreak/>
        <w:t>Obavlja poslove usmene i pisane komunikacije sa korisnicima/krajnjim primateljima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Surađuje sa ostalim organizacijskim jedinicama, daje prijedloge i stručna mišljenja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Predlaže nove procese i načine rada te izmjenu postojećih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Obavlja poslove mentorstva novozaposlenih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Obavlja ostale poslove i zadatke po nalogu voditelja Službe i Uprave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 xml:space="preserve">Obavlja i ostale stručne poslove iz svog djelokruga rada a 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koje se </w:t>
      </w:r>
      <w:r w:rsidRPr="00F8199D">
        <w:rPr>
          <w:rFonts w:asciiTheme="minorHAnsi" w:eastAsia="Times New Roman" w:hAnsiTheme="minorHAnsi" w:cstheme="minorHAnsi"/>
          <w:color w:val="000000"/>
        </w:rPr>
        <w:t>odnose rad agencije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="00091ECE">
        <w:rPr>
          <w:rFonts w:asciiTheme="minorHAnsi" w:eastAsia="Times New Roman" w:hAnsiTheme="minorHAnsi" w:cstheme="minorHAnsi"/>
        </w:rPr>
        <w:t xml:space="preserve"> </w:t>
      </w:r>
    </w:p>
    <w:p w14:paraId="10E9704C" w14:textId="77777777" w:rsidR="00C25F96" w:rsidRDefault="00C25F96" w:rsidP="00C25F96">
      <w:pPr>
        <w:rPr>
          <w:rFonts w:asciiTheme="minorHAnsi" w:hAnsiTheme="minorHAnsi" w:cstheme="minorHAnsi"/>
        </w:rPr>
      </w:pPr>
    </w:p>
    <w:p w14:paraId="6685D432" w14:textId="4D55B513" w:rsidR="00C25F96" w:rsidRPr="00C25F96" w:rsidRDefault="00C25F96" w:rsidP="00C25F96">
      <w:pPr>
        <w:spacing w:line="120" w:lineRule="atLeast"/>
        <w:jc w:val="both"/>
      </w:pPr>
      <w:r w:rsidRPr="00C25F96">
        <w:rPr>
          <w:u w:val="single"/>
        </w:rPr>
        <w:t>Pravni i drugi izvori za pripremanje kandidata za pismeno testiranje i/ili usmena provjera znanja za radno mjesto u Službi za građevinsko-tehničke analize i provjere:</w:t>
      </w:r>
    </w:p>
    <w:p w14:paraId="372A7208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Zakon o gradnji (NN 153/13, 20/17, 39/19 i 125/19)</w:t>
      </w:r>
    </w:p>
    <w:p w14:paraId="72657E03" w14:textId="77777777" w:rsidR="00C25F96" w:rsidRDefault="00C25F96" w:rsidP="00C25F96">
      <w:pPr>
        <w:numPr>
          <w:ilvl w:val="0"/>
          <w:numId w:val="31"/>
        </w:numPr>
        <w:ind w:left="502"/>
        <w:jc w:val="both"/>
        <w:rPr>
          <w:rFonts w:eastAsia="Times New Roman"/>
        </w:rPr>
      </w:pPr>
      <w:r>
        <w:rPr>
          <w:rFonts w:eastAsia="Times New Roman"/>
        </w:rPr>
        <w:t>Pravilnik o jednostavnim i drugim građevinama i radovima (NN 112/17, 34/18, 36/19, 98/19 i 31/20)</w:t>
      </w:r>
    </w:p>
    <w:p w14:paraId="3AA02284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  <w:lang w:eastAsia="en-US"/>
        </w:rPr>
      </w:pPr>
      <w:r>
        <w:rPr>
          <w:rFonts w:eastAsia="Times New Roman"/>
        </w:rPr>
        <w:t>Zakon o prostornom uređenju (NN 153/13, 65/17, 114/18, 39/19 i 98/19)</w:t>
      </w:r>
    </w:p>
    <w:p w14:paraId="6A4808DE" w14:textId="77777777" w:rsidR="00C25F96" w:rsidRDefault="006B4F39" w:rsidP="00C25F96">
      <w:pPr>
        <w:numPr>
          <w:ilvl w:val="0"/>
          <w:numId w:val="31"/>
        </w:numPr>
        <w:ind w:left="502"/>
        <w:rPr>
          <w:rFonts w:eastAsia="Times New Roman"/>
        </w:rPr>
      </w:pPr>
      <w:hyperlink r:id="rId11" w:history="1">
        <w:r w:rsidR="00C25F96">
          <w:rPr>
            <w:rStyle w:val="Hiperveza"/>
            <w:rFonts w:eastAsia="Times New Roman"/>
          </w:rPr>
          <w:t>Statut Hrvatske agencije za malo gospodarstvo, inovacije i investicije</w:t>
        </w:r>
      </w:hyperlink>
    </w:p>
    <w:p w14:paraId="68891E50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  <w:color w:val="FF0000"/>
        </w:rPr>
      </w:pPr>
      <w:r>
        <w:rPr>
          <w:rFonts w:eastAsia="Times New Roman"/>
        </w:rPr>
        <w:t xml:space="preserve">informacije s internet stranica </w:t>
      </w:r>
      <w:hyperlink r:id="rId12" w:history="1">
        <w:r>
          <w:rPr>
            <w:rStyle w:val="Hiperveza"/>
            <w:rFonts w:eastAsia="Times New Roman"/>
          </w:rPr>
          <w:t>HAMAG-BICRO-a</w:t>
        </w:r>
      </w:hyperlink>
    </w:p>
    <w:p w14:paraId="6F5CD1F4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 i 121/16)</w:t>
      </w:r>
    </w:p>
    <w:p w14:paraId="56EF7740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  <w:lang w:eastAsia="en-US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3BBEA499" w14:textId="77777777" w:rsidR="00C25F96" w:rsidRP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 w:rsidRPr="00C25F96">
        <w:rPr>
          <w:rFonts w:eastAsia="Times New Roman"/>
        </w:rPr>
        <w:t>Zakon o institucionalnom okviru za korištenje fondova Europske unije u Republici Hrvatskoj (NN 116/21)</w:t>
      </w:r>
    </w:p>
    <w:p w14:paraId="1BBD4CF6" w14:textId="4E015406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»Ulaganje za rast i radna mjesta« (NN 107/14, 23/15</w:t>
      </w:r>
      <w:r w:rsidRPr="00C25F96">
        <w:rPr>
          <w:rFonts w:eastAsia="Times New Roman"/>
        </w:rPr>
        <w:t>, 129/15, 15/17, 18/17 - ispravak, 46/21 i 49/21)</w:t>
      </w:r>
    </w:p>
    <w:p w14:paraId="483E48DE" w14:textId="77777777" w:rsidR="00C25F96" w:rsidRP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 w:rsidRPr="00C25F96">
        <w:rPr>
          <w:rFonts w:eastAsia="Times New Roman"/>
        </w:rPr>
        <w:t xml:space="preserve">poznavanje tržišnih cijena za izvođenje osnovnih građevinsko-obrtničkih radova u graditeljstvu! </w:t>
      </w:r>
    </w:p>
    <w:p w14:paraId="187E3BC7" w14:textId="77777777" w:rsidR="00C25F96" w:rsidRDefault="00C25F96" w:rsidP="00C25F96">
      <w:pPr>
        <w:jc w:val="both"/>
        <w:rPr>
          <w:rFonts w:asciiTheme="minorHAnsi" w:hAnsiTheme="minorHAnsi" w:cstheme="minorHAnsi"/>
          <w:b/>
          <w:u w:val="single"/>
        </w:rPr>
      </w:pPr>
    </w:p>
    <w:p w14:paraId="3DC7ED93" w14:textId="77777777" w:rsidR="00C25F96" w:rsidRDefault="00C25F96" w:rsidP="00C25F96">
      <w:pPr>
        <w:ind w:left="360"/>
        <w:jc w:val="both"/>
        <w:rPr>
          <w:rFonts w:asciiTheme="minorHAnsi" w:hAnsiTheme="minorHAnsi" w:cstheme="minorHAnsi"/>
        </w:rPr>
      </w:pPr>
    </w:p>
    <w:p w14:paraId="5A0E962F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0AB319D" w14:textId="429B01AB" w:rsidR="00A8290E" w:rsidRDefault="00A8290E" w:rsidP="00D01E34">
      <w:pPr>
        <w:rPr>
          <w:rStyle w:val="Hiperveza"/>
          <w:rFonts w:eastAsia="Times New Roman"/>
          <w:color w:val="auto"/>
          <w:u w:val="none"/>
        </w:rPr>
      </w:pPr>
    </w:p>
    <w:p w14:paraId="460BFC0F" w14:textId="77777777" w:rsidR="00D01E34" w:rsidRDefault="00D01E34" w:rsidP="00D01E34"/>
    <w:p w14:paraId="60288954" w14:textId="7EBF54FC" w:rsidR="00184B51" w:rsidRDefault="00184B51" w:rsidP="00462121">
      <w:pPr>
        <w:pStyle w:val="Odlomakpopisa"/>
        <w:jc w:val="both"/>
        <w:rPr>
          <w:rFonts w:asciiTheme="minorHAnsi" w:hAnsiTheme="minorHAnsi" w:cstheme="minorHAnsi"/>
          <w:b/>
          <w:u w:val="single"/>
        </w:rPr>
      </w:pPr>
    </w:p>
    <w:p w14:paraId="7F4A6057" w14:textId="77777777" w:rsidR="009B1E7C" w:rsidRDefault="009B1E7C" w:rsidP="00B97924">
      <w:pPr>
        <w:jc w:val="both"/>
        <w:sectPr w:rsidR="009B1E7C" w:rsidSect="00AB5E8B">
          <w:headerReference w:type="default" r:id="rId13"/>
          <w:footerReference w:type="default" r:id="rId14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2270A001" w14:textId="11104CD3" w:rsidR="00E70A0B" w:rsidRPr="00704B37" w:rsidRDefault="00E70A0B" w:rsidP="00704B37">
      <w:pPr>
        <w:rPr>
          <w:rFonts w:asciiTheme="minorHAnsi" w:hAnsiTheme="minorHAnsi" w:cstheme="minorHAnsi"/>
        </w:rPr>
      </w:pPr>
      <w:bookmarkStart w:id="0" w:name="_Hlk96938949"/>
      <w:r>
        <w:lastRenderedPageBreak/>
        <w:t xml:space="preserve"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</w:t>
      </w:r>
      <w:r w:rsidRPr="00704B37">
        <w:rPr>
          <w:rFonts w:asciiTheme="minorHAnsi" w:hAnsiTheme="minorHAnsi" w:cstheme="minorHAnsi"/>
        </w:rPr>
        <w:t>(</w:t>
      </w:r>
      <w:r w:rsidR="00704B37" w:rsidRPr="00704B37">
        <w:rPr>
          <w:rFonts w:asciiTheme="minorHAnsi" w:hAnsiTheme="minorHAnsi" w:cstheme="minorHAnsi"/>
        </w:rPr>
        <w:t>NN br. 25/2013, 72/2013, 151/2013, 9/2014, 40/2014, 51/2014, 77/2014, 83/2014, 87/2014, 120/2014, 147/2014, 151/2014, 11/2015, 32/2015, 38/2015, 60/2015, 83/2015, 112/2015, 122/2015, 10/2017, 39/2017, 40/2017, 74/2017, 122/2017, 9/2018, 57/2018, 59/2019, 79/2019, 119/2019, 50/2020, 128/2020, 141/2020, 17/2021, 26/2021, 78/2021, 138/2021, 9/2022</w:t>
      </w:r>
      <w:r w:rsidRPr="00704B37">
        <w:rPr>
          <w:rFonts w:asciiTheme="minorHAnsi" w:hAnsiTheme="minorHAnsi" w:cstheme="minorHAnsi"/>
        </w:rPr>
        <w:t>).</w:t>
      </w:r>
    </w:p>
    <w:bookmarkEnd w:id="0"/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9190F0A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provjere stručnog znanja i sposobnosti kandidata </w:t>
      </w:r>
      <w:r w:rsidR="00ED68FE">
        <w:rPr>
          <w:rFonts w:asciiTheme="minorHAnsi" w:hAnsiTheme="minorHAnsi" w:cstheme="minorHAnsi"/>
        </w:rPr>
        <w:t>pisanim ispitom</w:t>
      </w:r>
      <w:r w:rsidRPr="001C4D2F">
        <w:rPr>
          <w:rFonts w:asciiTheme="minorHAnsi" w:hAnsiTheme="minorHAnsi" w:cstheme="minorHAnsi"/>
        </w:rPr>
        <w:t>)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i/ili intervju</w:t>
      </w:r>
      <w:r w:rsidR="00ED68FE"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A48" w14:textId="77777777" w:rsidR="002453AA" w:rsidRDefault="002453AA" w:rsidP="00480D80">
      <w:r>
        <w:separator/>
      </w:r>
    </w:p>
  </w:endnote>
  <w:endnote w:type="continuationSeparator" w:id="0">
    <w:p w14:paraId="70BE9C43" w14:textId="77777777" w:rsidR="002453AA" w:rsidRDefault="002453AA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1E0" w14:textId="77777777" w:rsidR="002453AA" w:rsidRDefault="002453AA" w:rsidP="00480D80">
      <w:r>
        <w:separator/>
      </w:r>
    </w:p>
  </w:footnote>
  <w:footnote w:type="continuationSeparator" w:id="0">
    <w:p w14:paraId="38C224C6" w14:textId="77777777" w:rsidR="002453AA" w:rsidRDefault="002453AA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D2"/>
    <w:multiLevelType w:val="hybridMultilevel"/>
    <w:tmpl w:val="F58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A31"/>
    <w:multiLevelType w:val="hybridMultilevel"/>
    <w:tmpl w:val="E59C1312"/>
    <w:lvl w:ilvl="0" w:tplc="3AF06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3C2"/>
    <w:multiLevelType w:val="hybridMultilevel"/>
    <w:tmpl w:val="B9D6E8AC"/>
    <w:lvl w:ilvl="0" w:tplc="B1EC20F0">
      <w:start w:val="4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E5C47"/>
    <w:multiLevelType w:val="hybridMultilevel"/>
    <w:tmpl w:val="D794F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E45"/>
    <w:multiLevelType w:val="hybridMultilevel"/>
    <w:tmpl w:val="5BFC2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1507"/>
    <w:multiLevelType w:val="hybridMultilevel"/>
    <w:tmpl w:val="944EE0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59B6"/>
    <w:multiLevelType w:val="hybridMultilevel"/>
    <w:tmpl w:val="2CF87C7C"/>
    <w:lvl w:ilvl="0" w:tplc="398C11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6B43"/>
    <w:multiLevelType w:val="hybridMultilevel"/>
    <w:tmpl w:val="75BC0EA0"/>
    <w:lvl w:ilvl="0" w:tplc="6EDEAD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1EA"/>
    <w:multiLevelType w:val="hybridMultilevel"/>
    <w:tmpl w:val="FB1E7B52"/>
    <w:lvl w:ilvl="0" w:tplc="B8E2452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EC1D98"/>
    <w:multiLevelType w:val="hybridMultilevel"/>
    <w:tmpl w:val="9C0CD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217DC"/>
    <w:multiLevelType w:val="hybridMultilevel"/>
    <w:tmpl w:val="FBF8095C"/>
    <w:lvl w:ilvl="0" w:tplc="F69432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1CAA"/>
    <w:multiLevelType w:val="hybridMultilevel"/>
    <w:tmpl w:val="6046BE74"/>
    <w:lvl w:ilvl="0" w:tplc="64AC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14C0F"/>
    <w:multiLevelType w:val="hybridMultilevel"/>
    <w:tmpl w:val="8834CD70"/>
    <w:lvl w:ilvl="0" w:tplc="F668AE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60DA0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94DCC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4A372F2"/>
    <w:multiLevelType w:val="hybridMultilevel"/>
    <w:tmpl w:val="FD24DFE2"/>
    <w:lvl w:ilvl="0" w:tplc="76D66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4"/>
  </w:num>
  <w:num w:numId="5">
    <w:abstractNumId w:val="19"/>
  </w:num>
  <w:num w:numId="6">
    <w:abstractNumId w:val="4"/>
  </w:num>
  <w:num w:numId="7">
    <w:abstractNumId w:val="18"/>
  </w:num>
  <w:num w:numId="8">
    <w:abstractNumId w:val="7"/>
  </w:num>
  <w:num w:numId="9">
    <w:abstractNumId w:val="20"/>
  </w:num>
  <w:num w:numId="10">
    <w:abstractNumId w:val="17"/>
  </w:num>
  <w:num w:numId="11">
    <w:abstractNumId w:val="1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 w:numId="18">
    <w:abstractNumId w:val="21"/>
  </w:num>
  <w:num w:numId="19">
    <w:abstractNumId w:val="9"/>
  </w:num>
  <w:num w:numId="20">
    <w:abstractNumId w:val="13"/>
  </w:num>
  <w:num w:numId="21">
    <w:abstractNumId w:val="6"/>
  </w:num>
  <w:num w:numId="22">
    <w:abstractNumId w:val="12"/>
  </w:num>
  <w:num w:numId="23">
    <w:abstractNumId w:val="2"/>
  </w:num>
  <w:num w:numId="24">
    <w:abstractNumId w:val="0"/>
  </w:num>
  <w:num w:numId="25">
    <w:abstractNumId w:val="15"/>
  </w:num>
  <w:num w:numId="26">
    <w:abstractNumId w:val="4"/>
  </w:num>
  <w:num w:numId="27">
    <w:abstractNumId w:val="4"/>
  </w:num>
  <w:num w:numId="28">
    <w:abstractNumId w:val="3"/>
  </w:num>
  <w:num w:numId="29">
    <w:abstractNumId w:val="15"/>
  </w:num>
  <w:num w:numId="30">
    <w:abstractNumId w:val="4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F1C54"/>
    <w:rsid w:val="006F39BB"/>
    <w:rsid w:val="00704B37"/>
    <w:rsid w:val="0071050F"/>
    <w:rsid w:val="00710A2D"/>
    <w:rsid w:val="00712FC5"/>
    <w:rsid w:val="00727536"/>
    <w:rsid w:val="007277C5"/>
    <w:rsid w:val="007375F8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5CA8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44A9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C0D63"/>
    <w:rsid w:val="00DC5989"/>
    <w:rsid w:val="00DD06B3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710C"/>
    <w:rsid w:val="00F80697"/>
    <w:rsid w:val="00F8199D"/>
    <w:rsid w:val="00F8471B"/>
    <w:rsid w:val="00F8638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oporavka.gov.hr/UserDocsImages/dokumenti/Plan%20oporavka%20i%20otpornosti%2C%20srpanj%202021..pdf?vel=134354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magbicro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magbicro.hr/e-knjiznica/sluzbeni-dokument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ukturnifondovi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magbicro.hr/e-knjiznica/sluzbeni-dokument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2345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9</cp:revision>
  <cp:lastPrinted>2017-11-08T08:03:00Z</cp:lastPrinted>
  <dcterms:created xsi:type="dcterms:W3CDTF">2022-02-15T11:54:00Z</dcterms:created>
  <dcterms:modified xsi:type="dcterms:W3CDTF">2022-03-02T08:56:00Z</dcterms:modified>
</cp:coreProperties>
</file>