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67A84" w14:textId="77777777" w:rsidR="009562F3" w:rsidRDefault="009562F3" w:rsidP="007E635C">
      <w:pPr>
        <w:pStyle w:val="Default"/>
        <w:jc w:val="center"/>
        <w:rPr>
          <w:rFonts w:ascii="Arial" w:hAnsi="Arial" w:cs="Arial"/>
          <w:b/>
          <w:sz w:val="22"/>
          <w:szCs w:val="22"/>
          <w:lang w:val="hr-HR"/>
        </w:rPr>
      </w:pPr>
    </w:p>
    <w:p w14:paraId="0EAFFCA9" w14:textId="77777777" w:rsidR="009562F3" w:rsidRDefault="009562F3" w:rsidP="007E635C">
      <w:pPr>
        <w:pStyle w:val="Default"/>
        <w:jc w:val="center"/>
        <w:rPr>
          <w:rFonts w:ascii="Arial" w:hAnsi="Arial" w:cs="Arial"/>
          <w:b/>
          <w:sz w:val="22"/>
          <w:szCs w:val="22"/>
          <w:lang w:val="hr-HR"/>
        </w:rPr>
      </w:pPr>
    </w:p>
    <w:p w14:paraId="63CD0D40" w14:textId="0546F84B" w:rsidR="00CA76B4" w:rsidRPr="007349CF" w:rsidRDefault="00DE40D4" w:rsidP="007E635C">
      <w:pPr>
        <w:pStyle w:val="Default"/>
        <w:jc w:val="center"/>
        <w:rPr>
          <w:rFonts w:ascii="Arial" w:hAnsi="Arial" w:cs="Arial"/>
          <w:b/>
          <w:sz w:val="22"/>
          <w:szCs w:val="22"/>
          <w:lang w:val="hr-HR"/>
        </w:rPr>
      </w:pPr>
      <w:r w:rsidRPr="007349CF">
        <w:rPr>
          <w:rFonts w:ascii="Arial" w:hAnsi="Arial" w:cs="Arial"/>
          <w:b/>
          <w:sz w:val="22"/>
          <w:szCs w:val="22"/>
          <w:lang w:val="hr-HR"/>
        </w:rPr>
        <w:t>Poziv na iskazivanje interesa za</w:t>
      </w:r>
      <w:r w:rsidR="009E2326" w:rsidRPr="007349CF">
        <w:rPr>
          <w:rFonts w:ascii="Arial" w:hAnsi="Arial" w:cs="Arial"/>
          <w:b/>
          <w:sz w:val="22"/>
          <w:szCs w:val="22"/>
          <w:lang w:val="hr-HR"/>
        </w:rPr>
        <w:t xml:space="preserve"> </w:t>
      </w:r>
      <w:r w:rsidRPr="007349CF">
        <w:rPr>
          <w:rFonts w:ascii="Arial" w:hAnsi="Arial" w:cs="Arial"/>
          <w:b/>
          <w:sz w:val="22"/>
          <w:szCs w:val="22"/>
          <w:lang w:val="hr-HR"/>
        </w:rPr>
        <w:t>odabir Financijskih i</w:t>
      </w:r>
      <w:r w:rsidR="009E2326" w:rsidRPr="007349CF">
        <w:rPr>
          <w:rFonts w:ascii="Arial" w:hAnsi="Arial" w:cs="Arial"/>
          <w:b/>
          <w:sz w:val="22"/>
          <w:szCs w:val="22"/>
          <w:lang w:val="hr-HR"/>
        </w:rPr>
        <w:t>nstitu</w:t>
      </w:r>
      <w:r w:rsidRPr="007349CF">
        <w:rPr>
          <w:rFonts w:ascii="Arial" w:hAnsi="Arial" w:cs="Arial"/>
          <w:b/>
          <w:sz w:val="22"/>
          <w:szCs w:val="22"/>
          <w:lang w:val="hr-HR"/>
        </w:rPr>
        <w:t xml:space="preserve">cija u sklopu Programa </w:t>
      </w:r>
      <w:r w:rsidR="00E3060F" w:rsidRPr="007349CF">
        <w:rPr>
          <w:rFonts w:ascii="Arial" w:hAnsi="Arial" w:cs="Arial"/>
          <w:b/>
          <w:sz w:val="22"/>
          <w:szCs w:val="22"/>
          <w:lang w:val="hr-HR"/>
        </w:rPr>
        <w:t>pojedinačna</w:t>
      </w:r>
      <w:r w:rsidRPr="007349CF">
        <w:rPr>
          <w:rFonts w:ascii="Arial" w:hAnsi="Arial" w:cs="Arial"/>
          <w:b/>
          <w:sz w:val="22"/>
          <w:szCs w:val="22"/>
          <w:lang w:val="hr-HR"/>
        </w:rPr>
        <w:t xml:space="preserve"> jamstava za MSP-ove koji se financiraju iz ESIF</w:t>
      </w:r>
      <w:r w:rsidR="00E3060F" w:rsidRPr="007349CF">
        <w:rPr>
          <w:rFonts w:ascii="Arial" w:hAnsi="Arial" w:cs="Arial"/>
          <w:b/>
          <w:sz w:val="22"/>
          <w:szCs w:val="22"/>
          <w:lang w:val="hr-HR"/>
        </w:rPr>
        <w:t>-a</w:t>
      </w:r>
      <w:r w:rsidRPr="007349CF">
        <w:rPr>
          <w:rFonts w:ascii="Arial" w:hAnsi="Arial" w:cs="Arial"/>
          <w:b/>
          <w:sz w:val="22"/>
          <w:szCs w:val="22"/>
          <w:lang w:val="hr-HR"/>
        </w:rPr>
        <w:t xml:space="preserve"> EU</w:t>
      </w:r>
    </w:p>
    <w:p w14:paraId="4C82369A" w14:textId="77777777" w:rsidR="009E2326" w:rsidRPr="007349CF" w:rsidRDefault="009E2326" w:rsidP="00CA76B4">
      <w:pPr>
        <w:pStyle w:val="Default"/>
        <w:rPr>
          <w:rFonts w:ascii="Arial" w:hAnsi="Arial" w:cs="Arial"/>
          <w:sz w:val="22"/>
          <w:szCs w:val="22"/>
          <w:lang w:val="hr-HR"/>
        </w:rPr>
      </w:pPr>
    </w:p>
    <w:p w14:paraId="3A75906E" w14:textId="0CFBBDF7" w:rsidR="009E2326" w:rsidRPr="007349CF" w:rsidRDefault="002410D6" w:rsidP="002410D6">
      <w:pPr>
        <w:pStyle w:val="Default"/>
        <w:jc w:val="center"/>
        <w:rPr>
          <w:rFonts w:ascii="Arial" w:hAnsi="Arial" w:cs="Arial"/>
          <w:color w:val="FF0000"/>
          <w:sz w:val="22"/>
          <w:szCs w:val="22"/>
          <w:lang w:val="hr-HR"/>
        </w:rPr>
      </w:pPr>
      <w:r w:rsidRPr="007349CF">
        <w:rPr>
          <w:rFonts w:ascii="Arial" w:hAnsi="Arial" w:cs="Arial"/>
          <w:sz w:val="22"/>
          <w:szCs w:val="22"/>
          <w:lang w:val="hr-HR"/>
        </w:rPr>
        <w:t>Dat</w:t>
      </w:r>
      <w:r w:rsidR="00DE40D4" w:rsidRPr="007349CF">
        <w:rPr>
          <w:rFonts w:ascii="Arial" w:hAnsi="Arial" w:cs="Arial"/>
          <w:sz w:val="22"/>
          <w:szCs w:val="22"/>
          <w:lang w:val="hr-HR"/>
        </w:rPr>
        <w:t>um</w:t>
      </w:r>
      <w:r w:rsidRPr="007349CF">
        <w:rPr>
          <w:rFonts w:ascii="Arial" w:hAnsi="Arial" w:cs="Arial"/>
          <w:sz w:val="22"/>
          <w:szCs w:val="22"/>
          <w:lang w:val="hr-HR"/>
        </w:rPr>
        <w:t xml:space="preserve">: </w:t>
      </w:r>
      <w:r w:rsidR="00F262F0" w:rsidRPr="007349CF">
        <w:rPr>
          <w:rFonts w:ascii="Arial" w:hAnsi="Arial" w:cs="Arial"/>
          <w:sz w:val="22"/>
          <w:szCs w:val="22"/>
          <w:lang w:val="hr-HR"/>
        </w:rPr>
        <w:t>2</w:t>
      </w:r>
      <w:r w:rsidR="00570EA2">
        <w:rPr>
          <w:rFonts w:ascii="Arial" w:hAnsi="Arial" w:cs="Arial"/>
          <w:sz w:val="22"/>
          <w:szCs w:val="22"/>
          <w:lang w:val="hr-HR"/>
        </w:rPr>
        <w:t>6</w:t>
      </w:r>
      <w:r w:rsidR="00DE40D4" w:rsidRPr="007349CF">
        <w:rPr>
          <w:rFonts w:ascii="Arial" w:hAnsi="Arial" w:cs="Arial"/>
          <w:sz w:val="22"/>
          <w:szCs w:val="22"/>
          <w:lang w:val="hr-HR"/>
        </w:rPr>
        <w:t>.</w:t>
      </w:r>
      <w:r w:rsidR="00570EA2">
        <w:rPr>
          <w:rFonts w:ascii="Arial" w:hAnsi="Arial" w:cs="Arial"/>
          <w:sz w:val="22"/>
          <w:szCs w:val="22"/>
          <w:lang w:val="hr-HR"/>
        </w:rPr>
        <w:t xml:space="preserve"> travnja</w:t>
      </w:r>
      <w:r w:rsidR="00F262F0" w:rsidRPr="007349CF">
        <w:rPr>
          <w:rFonts w:ascii="Arial" w:hAnsi="Arial" w:cs="Arial"/>
          <w:sz w:val="22"/>
          <w:szCs w:val="22"/>
          <w:lang w:val="hr-HR"/>
        </w:rPr>
        <w:t xml:space="preserve"> </w:t>
      </w:r>
      <w:r w:rsidR="00D04629" w:rsidRPr="007349CF">
        <w:rPr>
          <w:rFonts w:ascii="Arial" w:hAnsi="Arial" w:cs="Arial"/>
          <w:sz w:val="22"/>
          <w:szCs w:val="22"/>
          <w:lang w:val="hr-HR"/>
        </w:rPr>
        <w:t>201</w:t>
      </w:r>
      <w:r w:rsidR="00570EA2">
        <w:rPr>
          <w:rFonts w:ascii="Arial" w:hAnsi="Arial" w:cs="Arial"/>
          <w:sz w:val="22"/>
          <w:szCs w:val="22"/>
          <w:lang w:val="hr-HR"/>
        </w:rPr>
        <w:t>9</w:t>
      </w:r>
      <w:r w:rsidR="00DE40D4" w:rsidRPr="007349CF">
        <w:rPr>
          <w:rFonts w:ascii="Arial" w:hAnsi="Arial" w:cs="Arial"/>
          <w:sz w:val="22"/>
          <w:szCs w:val="22"/>
          <w:lang w:val="hr-HR"/>
        </w:rPr>
        <w:t>.</w:t>
      </w:r>
    </w:p>
    <w:p w14:paraId="4B32A7AC" w14:textId="77777777" w:rsidR="002410D6" w:rsidRPr="007349CF" w:rsidRDefault="002410D6" w:rsidP="002410D6">
      <w:pPr>
        <w:pStyle w:val="Default"/>
        <w:rPr>
          <w:rFonts w:ascii="Arial" w:hAnsi="Arial" w:cs="Arial"/>
          <w:b/>
          <w:sz w:val="22"/>
          <w:szCs w:val="22"/>
          <w:lang w:val="hr-HR"/>
        </w:rPr>
      </w:pPr>
      <w:r w:rsidRPr="007349CF">
        <w:rPr>
          <w:rFonts w:ascii="Arial" w:hAnsi="Arial" w:cs="Arial"/>
          <w:b/>
          <w:sz w:val="22"/>
          <w:szCs w:val="22"/>
          <w:lang w:val="hr-HR"/>
        </w:rPr>
        <w:t xml:space="preserve">1. </w:t>
      </w:r>
      <w:r w:rsidRPr="007349CF">
        <w:rPr>
          <w:rFonts w:ascii="Arial" w:hAnsi="Arial" w:cs="Arial"/>
          <w:b/>
          <w:sz w:val="22"/>
          <w:szCs w:val="22"/>
          <w:lang w:val="hr-HR"/>
        </w:rPr>
        <w:tab/>
      </w:r>
      <w:r w:rsidR="00DE40D4" w:rsidRPr="007349CF">
        <w:rPr>
          <w:rFonts w:ascii="Arial" w:hAnsi="Arial" w:cs="Arial"/>
          <w:b/>
          <w:sz w:val="22"/>
          <w:szCs w:val="22"/>
          <w:lang w:val="hr-HR"/>
        </w:rPr>
        <w:t>Kontekst</w:t>
      </w:r>
      <w:r w:rsidRPr="007349CF">
        <w:rPr>
          <w:rFonts w:ascii="Arial" w:hAnsi="Arial" w:cs="Arial"/>
          <w:b/>
          <w:sz w:val="22"/>
          <w:szCs w:val="22"/>
          <w:lang w:val="hr-HR"/>
        </w:rPr>
        <w:t xml:space="preserve"> </w:t>
      </w:r>
    </w:p>
    <w:p w14:paraId="715757E9" w14:textId="77777777" w:rsidR="002410D6" w:rsidRPr="007349CF" w:rsidRDefault="002410D6" w:rsidP="002410D6">
      <w:pPr>
        <w:pStyle w:val="Default"/>
        <w:jc w:val="both"/>
        <w:rPr>
          <w:rFonts w:ascii="Arial" w:hAnsi="Arial" w:cs="Arial"/>
          <w:sz w:val="22"/>
          <w:szCs w:val="22"/>
          <w:lang w:val="hr-HR"/>
        </w:rPr>
      </w:pPr>
    </w:p>
    <w:p w14:paraId="3ED46B19" w14:textId="47869E77" w:rsidR="00D53337" w:rsidRPr="007349CF" w:rsidRDefault="004970B2" w:rsidP="00672250">
      <w:pPr>
        <w:pStyle w:val="Default"/>
        <w:jc w:val="both"/>
        <w:rPr>
          <w:rFonts w:ascii="Arial" w:hAnsi="Arial" w:cs="Arial"/>
          <w:color w:val="auto"/>
          <w:sz w:val="22"/>
          <w:szCs w:val="22"/>
          <w:lang w:val="hr-HR"/>
        </w:rPr>
      </w:pPr>
      <w:r w:rsidRPr="007349CF">
        <w:rPr>
          <w:rFonts w:ascii="Arial" w:hAnsi="Arial" w:cs="Arial"/>
          <w:sz w:val="22"/>
          <w:szCs w:val="22"/>
          <w:lang w:val="hr-HR"/>
        </w:rPr>
        <w:t>U sklopu Operativnog</w:t>
      </w:r>
      <w:r w:rsidR="00671E58" w:rsidRPr="007349CF">
        <w:rPr>
          <w:rFonts w:ascii="Arial" w:hAnsi="Arial" w:cs="Arial"/>
          <w:sz w:val="22"/>
          <w:szCs w:val="22"/>
          <w:lang w:val="hr-HR"/>
        </w:rPr>
        <w:t xml:space="preserve"> </w:t>
      </w:r>
      <w:r w:rsidRPr="007349CF">
        <w:rPr>
          <w:rFonts w:ascii="Arial" w:hAnsi="Arial" w:cs="Arial"/>
          <w:sz w:val="22"/>
          <w:szCs w:val="22"/>
          <w:lang w:val="hr-HR"/>
        </w:rPr>
        <w:t>p</w:t>
      </w:r>
      <w:r w:rsidR="00DE40D4" w:rsidRPr="007349CF">
        <w:rPr>
          <w:rFonts w:ascii="Arial" w:hAnsi="Arial" w:cs="Arial"/>
          <w:sz w:val="22"/>
          <w:szCs w:val="22"/>
          <w:lang w:val="hr-HR"/>
        </w:rPr>
        <w:t>rogram</w:t>
      </w:r>
      <w:r w:rsidRPr="007349CF">
        <w:rPr>
          <w:rFonts w:ascii="Arial" w:hAnsi="Arial" w:cs="Arial"/>
          <w:sz w:val="22"/>
          <w:szCs w:val="22"/>
          <w:lang w:val="hr-HR"/>
        </w:rPr>
        <w:t>a Konkurentnost i kohezija</w:t>
      </w:r>
      <w:r w:rsidR="00671E58" w:rsidRPr="007349CF">
        <w:rPr>
          <w:rFonts w:ascii="Arial" w:hAnsi="Arial" w:cs="Arial"/>
          <w:sz w:val="22"/>
          <w:szCs w:val="22"/>
          <w:lang w:val="hr-HR"/>
        </w:rPr>
        <w:t xml:space="preserve"> </w:t>
      </w:r>
      <w:r w:rsidR="00EE2BDF" w:rsidRPr="007349CF">
        <w:rPr>
          <w:rFonts w:ascii="Arial" w:hAnsi="Arial" w:cs="Arial"/>
          <w:sz w:val="22"/>
          <w:szCs w:val="22"/>
          <w:lang w:val="hr-HR"/>
        </w:rPr>
        <w:t>2014</w:t>
      </w:r>
      <w:r w:rsidRPr="007349CF">
        <w:rPr>
          <w:rFonts w:ascii="Arial" w:hAnsi="Arial" w:cs="Arial"/>
          <w:sz w:val="22"/>
          <w:szCs w:val="22"/>
          <w:lang w:val="hr-HR"/>
        </w:rPr>
        <w:t>.</w:t>
      </w:r>
      <w:r w:rsidR="00EE2BDF" w:rsidRPr="007349CF">
        <w:rPr>
          <w:rFonts w:ascii="Arial" w:hAnsi="Arial" w:cs="Arial"/>
          <w:sz w:val="22"/>
          <w:szCs w:val="22"/>
          <w:lang w:val="hr-HR"/>
        </w:rPr>
        <w:t>-2020</w:t>
      </w:r>
      <w:r w:rsidRPr="007349CF">
        <w:rPr>
          <w:rFonts w:ascii="Arial" w:hAnsi="Arial" w:cs="Arial"/>
          <w:sz w:val="22"/>
          <w:szCs w:val="22"/>
          <w:lang w:val="hr-HR"/>
        </w:rPr>
        <w:t>.</w:t>
      </w:r>
      <w:r w:rsidR="00EE2BDF" w:rsidRPr="007349CF">
        <w:rPr>
          <w:rFonts w:ascii="Arial" w:hAnsi="Arial" w:cs="Arial"/>
          <w:sz w:val="22"/>
          <w:szCs w:val="22"/>
          <w:lang w:val="hr-HR"/>
        </w:rPr>
        <w:t xml:space="preserve"> (</w:t>
      </w:r>
      <w:r w:rsidR="00DE40D4" w:rsidRPr="007349CF">
        <w:rPr>
          <w:rFonts w:ascii="Arial" w:hAnsi="Arial" w:cs="Arial"/>
          <w:sz w:val="22"/>
          <w:szCs w:val="22"/>
          <w:lang w:val="hr-HR"/>
        </w:rPr>
        <w:t>nadalje:</w:t>
      </w:r>
      <w:r w:rsidR="00EE2BDF" w:rsidRPr="007349CF">
        <w:rPr>
          <w:rFonts w:ascii="Arial" w:hAnsi="Arial" w:cs="Arial"/>
          <w:sz w:val="22"/>
          <w:szCs w:val="22"/>
          <w:lang w:val="hr-HR"/>
        </w:rPr>
        <w:t xml:space="preserve"> </w:t>
      </w:r>
      <w:r w:rsidRPr="007349CF">
        <w:rPr>
          <w:rFonts w:ascii="Arial" w:hAnsi="Arial" w:cs="Arial"/>
          <w:sz w:val="22"/>
          <w:szCs w:val="22"/>
          <w:lang w:val="hr-HR"/>
        </w:rPr>
        <w:t>„</w:t>
      </w:r>
      <w:r w:rsidR="00EE2BDF" w:rsidRPr="007349CF">
        <w:rPr>
          <w:rFonts w:ascii="Arial" w:hAnsi="Arial" w:cs="Arial"/>
          <w:b/>
          <w:sz w:val="22"/>
          <w:szCs w:val="22"/>
          <w:lang w:val="hr-HR"/>
        </w:rPr>
        <w:t>OP</w:t>
      </w:r>
      <w:r w:rsidRPr="007349CF">
        <w:rPr>
          <w:rFonts w:ascii="Arial" w:hAnsi="Arial" w:cs="Arial"/>
          <w:b/>
          <w:sz w:val="22"/>
          <w:szCs w:val="22"/>
          <w:lang w:val="hr-HR"/>
        </w:rPr>
        <w:t>KK</w:t>
      </w:r>
      <w:r w:rsidR="00EE2BDF" w:rsidRPr="007349CF">
        <w:rPr>
          <w:rFonts w:ascii="Arial" w:hAnsi="Arial" w:cs="Arial"/>
          <w:b/>
          <w:sz w:val="22"/>
          <w:szCs w:val="22"/>
          <w:lang w:val="hr-HR"/>
        </w:rPr>
        <w:t xml:space="preserve"> 2014</w:t>
      </w:r>
      <w:r w:rsidRPr="007349CF">
        <w:rPr>
          <w:rFonts w:ascii="Arial" w:hAnsi="Arial" w:cs="Arial"/>
          <w:b/>
          <w:sz w:val="22"/>
          <w:szCs w:val="22"/>
          <w:lang w:val="hr-HR"/>
        </w:rPr>
        <w:t>.</w:t>
      </w:r>
      <w:r w:rsidR="00EE2BDF" w:rsidRPr="007349CF">
        <w:rPr>
          <w:rFonts w:ascii="Arial" w:hAnsi="Arial" w:cs="Arial"/>
          <w:b/>
          <w:sz w:val="22"/>
          <w:szCs w:val="22"/>
          <w:lang w:val="hr-HR"/>
        </w:rPr>
        <w:t>-2020</w:t>
      </w:r>
      <w:r w:rsidRPr="007349CF">
        <w:rPr>
          <w:rFonts w:ascii="Arial" w:hAnsi="Arial" w:cs="Arial"/>
          <w:b/>
          <w:sz w:val="22"/>
          <w:szCs w:val="22"/>
          <w:lang w:val="hr-HR"/>
        </w:rPr>
        <w:t>.</w:t>
      </w:r>
      <w:r w:rsidR="00EE2BDF" w:rsidRPr="007349CF">
        <w:rPr>
          <w:rFonts w:ascii="Arial" w:hAnsi="Arial" w:cs="Arial"/>
          <w:sz w:val="22"/>
          <w:szCs w:val="22"/>
          <w:lang w:val="hr-HR"/>
        </w:rPr>
        <w:t xml:space="preserve">”), </w:t>
      </w:r>
      <w:r w:rsidRPr="007349CF">
        <w:rPr>
          <w:rFonts w:ascii="Arial" w:hAnsi="Arial" w:cs="Arial"/>
          <w:sz w:val="22"/>
          <w:szCs w:val="22"/>
          <w:lang w:val="hr-HR"/>
        </w:rPr>
        <w:t xml:space="preserve">Vlada RH i Europska </w:t>
      </w:r>
      <w:r w:rsidR="00912F3B" w:rsidRPr="007349CF">
        <w:rPr>
          <w:rFonts w:ascii="Arial" w:hAnsi="Arial" w:cs="Arial"/>
          <w:sz w:val="22"/>
          <w:szCs w:val="22"/>
          <w:lang w:val="hr-HR"/>
        </w:rPr>
        <w:t>u</w:t>
      </w:r>
      <w:r w:rsidRPr="007349CF">
        <w:rPr>
          <w:rFonts w:ascii="Arial" w:hAnsi="Arial" w:cs="Arial"/>
          <w:sz w:val="22"/>
          <w:szCs w:val="22"/>
          <w:lang w:val="hr-HR"/>
        </w:rPr>
        <w:t>nija</w:t>
      </w:r>
      <w:r w:rsidR="002410D6" w:rsidRPr="007349CF">
        <w:rPr>
          <w:rFonts w:ascii="Arial" w:hAnsi="Arial" w:cs="Arial"/>
          <w:sz w:val="22"/>
          <w:szCs w:val="22"/>
          <w:lang w:val="hr-HR"/>
        </w:rPr>
        <w:t xml:space="preserve"> (</w:t>
      </w:r>
      <w:r w:rsidRPr="007349CF">
        <w:rPr>
          <w:rFonts w:ascii="Arial" w:hAnsi="Arial" w:cs="Arial"/>
          <w:sz w:val="22"/>
          <w:szCs w:val="22"/>
          <w:lang w:val="hr-HR"/>
        </w:rPr>
        <w:t>„</w:t>
      </w:r>
      <w:r w:rsidR="002410D6" w:rsidRPr="007349CF">
        <w:rPr>
          <w:rFonts w:ascii="Arial" w:hAnsi="Arial" w:cs="Arial"/>
          <w:b/>
          <w:sz w:val="22"/>
          <w:szCs w:val="22"/>
          <w:lang w:val="hr-HR"/>
        </w:rPr>
        <w:t>EU</w:t>
      </w:r>
      <w:r w:rsidRPr="007349CF">
        <w:rPr>
          <w:rFonts w:ascii="Arial" w:hAnsi="Arial" w:cs="Arial"/>
          <w:sz w:val="22"/>
          <w:szCs w:val="22"/>
          <w:lang w:val="hr-HR"/>
        </w:rPr>
        <w:t>“</w:t>
      </w:r>
      <w:r w:rsidR="002410D6" w:rsidRPr="007349CF">
        <w:rPr>
          <w:rFonts w:ascii="Arial" w:hAnsi="Arial" w:cs="Arial"/>
          <w:sz w:val="22"/>
          <w:szCs w:val="22"/>
          <w:lang w:val="hr-HR"/>
        </w:rPr>
        <w:t xml:space="preserve">) </w:t>
      </w:r>
      <w:r w:rsidRPr="007349CF">
        <w:rPr>
          <w:rFonts w:ascii="Arial" w:hAnsi="Arial" w:cs="Arial"/>
          <w:sz w:val="22"/>
          <w:szCs w:val="22"/>
          <w:lang w:val="hr-HR"/>
        </w:rPr>
        <w:t xml:space="preserve">su </w:t>
      </w:r>
      <w:r w:rsidR="00FA13BE" w:rsidRPr="007349CF">
        <w:rPr>
          <w:rFonts w:ascii="Arial" w:hAnsi="Arial" w:cs="Arial"/>
          <w:sz w:val="22"/>
          <w:szCs w:val="22"/>
          <w:lang w:val="hr-HR"/>
        </w:rPr>
        <w:t>odlučile</w:t>
      </w:r>
      <w:r w:rsidRPr="007349CF">
        <w:rPr>
          <w:rFonts w:ascii="Arial" w:hAnsi="Arial" w:cs="Arial"/>
          <w:sz w:val="22"/>
          <w:szCs w:val="22"/>
          <w:lang w:val="hr-HR"/>
        </w:rPr>
        <w:t xml:space="preserve"> dodijeliti financijska sredstva </w:t>
      </w:r>
      <w:r w:rsidR="00EE2BDF" w:rsidRPr="007349CF">
        <w:rPr>
          <w:rFonts w:ascii="Arial" w:hAnsi="Arial" w:cs="Arial"/>
          <w:sz w:val="22"/>
          <w:szCs w:val="22"/>
          <w:lang w:val="hr-HR"/>
        </w:rPr>
        <w:t xml:space="preserve"> </w:t>
      </w:r>
      <w:r w:rsidR="00FA13BE" w:rsidRPr="007349CF">
        <w:rPr>
          <w:rFonts w:ascii="Arial" w:hAnsi="Arial" w:cs="Arial"/>
          <w:sz w:val="22"/>
          <w:szCs w:val="22"/>
          <w:lang w:val="hr-HR"/>
        </w:rPr>
        <w:t xml:space="preserve">za </w:t>
      </w:r>
      <w:r w:rsidR="00FA13BE" w:rsidRPr="007349CF">
        <w:rPr>
          <w:rFonts w:ascii="Arial" w:hAnsi="Arial" w:cs="Arial"/>
          <w:b/>
          <w:sz w:val="22"/>
          <w:szCs w:val="22"/>
          <w:lang w:val="hr-HR"/>
        </w:rPr>
        <w:t>Program</w:t>
      </w:r>
      <w:r w:rsidR="00181FE1" w:rsidRPr="007349CF">
        <w:rPr>
          <w:rFonts w:ascii="Arial" w:hAnsi="Arial" w:cs="Arial"/>
          <w:b/>
          <w:sz w:val="22"/>
          <w:szCs w:val="22"/>
          <w:lang w:val="hr-HR"/>
        </w:rPr>
        <w:t xml:space="preserve"> ESIF</w:t>
      </w:r>
      <w:r w:rsidRPr="007349CF">
        <w:rPr>
          <w:rFonts w:ascii="Arial" w:hAnsi="Arial" w:cs="Arial"/>
          <w:b/>
          <w:sz w:val="22"/>
          <w:szCs w:val="22"/>
          <w:lang w:val="hr-HR"/>
        </w:rPr>
        <w:t xml:space="preserve"> </w:t>
      </w:r>
      <w:r w:rsidR="003F03AF" w:rsidRPr="007349CF">
        <w:rPr>
          <w:rFonts w:ascii="Arial" w:hAnsi="Arial" w:cs="Arial"/>
          <w:b/>
          <w:sz w:val="22"/>
          <w:szCs w:val="22"/>
          <w:lang w:val="hr-HR"/>
        </w:rPr>
        <w:t>pojedinačna</w:t>
      </w:r>
      <w:r w:rsidRPr="007349CF">
        <w:rPr>
          <w:rFonts w:ascii="Arial" w:hAnsi="Arial" w:cs="Arial"/>
          <w:b/>
          <w:sz w:val="22"/>
          <w:szCs w:val="22"/>
          <w:lang w:val="hr-HR"/>
        </w:rPr>
        <w:t xml:space="preserve"> jamstava</w:t>
      </w:r>
      <w:r w:rsidR="00EE2BDF" w:rsidRPr="007349CF">
        <w:rPr>
          <w:rFonts w:ascii="Arial" w:hAnsi="Arial" w:cs="Arial"/>
          <w:sz w:val="22"/>
          <w:szCs w:val="22"/>
          <w:lang w:val="hr-HR"/>
        </w:rPr>
        <w:t xml:space="preserve"> </w:t>
      </w:r>
      <w:r w:rsidRPr="007349CF">
        <w:rPr>
          <w:rFonts w:ascii="Arial" w:hAnsi="Arial" w:cs="Arial"/>
          <w:sz w:val="22"/>
          <w:szCs w:val="22"/>
          <w:lang w:val="hr-HR"/>
        </w:rPr>
        <w:t xml:space="preserve">za </w:t>
      </w:r>
      <w:r w:rsidR="00E3060F" w:rsidRPr="007349CF">
        <w:rPr>
          <w:rFonts w:ascii="Arial" w:hAnsi="Arial" w:cs="Arial"/>
          <w:sz w:val="22"/>
          <w:szCs w:val="22"/>
          <w:lang w:val="hr-HR"/>
        </w:rPr>
        <w:t xml:space="preserve">mikro, </w:t>
      </w:r>
      <w:r w:rsidRPr="007349CF">
        <w:rPr>
          <w:rFonts w:ascii="Arial" w:hAnsi="Arial" w:cs="Arial"/>
          <w:sz w:val="22"/>
          <w:szCs w:val="22"/>
          <w:lang w:val="hr-HR"/>
        </w:rPr>
        <w:t>malo i srednje poduzetništvo</w:t>
      </w:r>
      <w:r w:rsidR="00EE2BDF" w:rsidRPr="007349CF">
        <w:rPr>
          <w:rFonts w:ascii="Arial" w:hAnsi="Arial" w:cs="Arial"/>
          <w:sz w:val="22"/>
          <w:szCs w:val="22"/>
          <w:lang w:val="hr-HR"/>
        </w:rPr>
        <w:t xml:space="preserve"> (</w:t>
      </w:r>
      <w:r w:rsidR="00DE40D4" w:rsidRPr="007349CF">
        <w:rPr>
          <w:rFonts w:ascii="Arial" w:hAnsi="Arial" w:cs="Arial"/>
          <w:sz w:val="22"/>
          <w:szCs w:val="22"/>
          <w:lang w:val="hr-HR"/>
        </w:rPr>
        <w:t>nadalje: „</w:t>
      </w:r>
      <w:r w:rsidR="00DE40D4" w:rsidRPr="007349CF">
        <w:rPr>
          <w:rFonts w:ascii="Arial" w:hAnsi="Arial" w:cs="Arial"/>
          <w:b/>
          <w:sz w:val="22"/>
          <w:szCs w:val="22"/>
          <w:lang w:val="hr-HR"/>
        </w:rPr>
        <w:t>Program</w:t>
      </w:r>
      <w:r w:rsidR="00DE40D4" w:rsidRPr="007349CF">
        <w:rPr>
          <w:rFonts w:ascii="Arial" w:hAnsi="Arial" w:cs="Arial"/>
          <w:sz w:val="22"/>
          <w:szCs w:val="22"/>
          <w:lang w:val="hr-HR"/>
        </w:rPr>
        <w:t>“</w:t>
      </w:r>
      <w:r w:rsidR="00EE2BDF" w:rsidRPr="007349CF">
        <w:rPr>
          <w:rFonts w:ascii="Arial" w:hAnsi="Arial" w:cs="Arial"/>
          <w:sz w:val="22"/>
          <w:szCs w:val="22"/>
          <w:lang w:val="hr-HR"/>
        </w:rPr>
        <w:t xml:space="preserve">), </w:t>
      </w:r>
      <w:r w:rsidRPr="007349CF">
        <w:rPr>
          <w:rFonts w:ascii="Arial" w:hAnsi="Arial" w:cs="Arial"/>
          <w:sz w:val="22"/>
          <w:szCs w:val="22"/>
          <w:lang w:val="hr-HR"/>
        </w:rPr>
        <w:t xml:space="preserve">koji je usmjeren na konkretne i dobro utvrđene </w:t>
      </w:r>
      <w:r w:rsidR="00E3060F" w:rsidRPr="007349CF">
        <w:rPr>
          <w:rFonts w:ascii="Arial" w:hAnsi="Arial" w:cs="Arial"/>
          <w:sz w:val="22"/>
          <w:szCs w:val="22"/>
          <w:lang w:val="hr-HR"/>
        </w:rPr>
        <w:t>nedostatke</w:t>
      </w:r>
      <w:r w:rsidR="004135CC" w:rsidRPr="007349CF">
        <w:rPr>
          <w:rFonts w:ascii="Arial" w:hAnsi="Arial" w:cs="Arial"/>
          <w:sz w:val="22"/>
          <w:szCs w:val="22"/>
          <w:lang w:val="hr-HR"/>
        </w:rPr>
        <w:t xml:space="preserve"> </w:t>
      </w:r>
      <w:r w:rsidRPr="007349CF">
        <w:rPr>
          <w:rFonts w:ascii="Arial" w:hAnsi="Arial" w:cs="Arial"/>
          <w:sz w:val="22"/>
          <w:szCs w:val="22"/>
          <w:lang w:val="hr-HR"/>
        </w:rPr>
        <w:t xml:space="preserve">na tržištu </w:t>
      </w:r>
      <w:r w:rsidR="006656CB" w:rsidRPr="007349CF">
        <w:rPr>
          <w:rFonts w:ascii="Arial" w:hAnsi="Arial" w:cs="Arial"/>
          <w:sz w:val="22"/>
          <w:szCs w:val="22"/>
          <w:lang w:val="hr-HR"/>
        </w:rPr>
        <w:t>u</w:t>
      </w:r>
      <w:r w:rsidRPr="007349CF">
        <w:rPr>
          <w:rFonts w:ascii="Arial" w:hAnsi="Arial" w:cs="Arial"/>
          <w:sz w:val="22"/>
          <w:szCs w:val="22"/>
          <w:lang w:val="hr-HR"/>
        </w:rPr>
        <w:t xml:space="preserve"> cilj</w:t>
      </w:r>
      <w:r w:rsidR="006656CB" w:rsidRPr="007349CF">
        <w:rPr>
          <w:rFonts w:ascii="Arial" w:hAnsi="Arial" w:cs="Arial"/>
          <w:sz w:val="22"/>
          <w:szCs w:val="22"/>
          <w:lang w:val="hr-HR"/>
        </w:rPr>
        <w:t>u</w:t>
      </w:r>
      <w:r w:rsidRPr="007349CF">
        <w:rPr>
          <w:rFonts w:ascii="Arial" w:hAnsi="Arial" w:cs="Arial"/>
          <w:sz w:val="22"/>
          <w:szCs w:val="22"/>
          <w:lang w:val="hr-HR"/>
        </w:rPr>
        <w:t xml:space="preserve"> osiguranja boljeg pristupa financiranju </w:t>
      </w:r>
      <w:r w:rsidR="00E3060F" w:rsidRPr="007349CF">
        <w:rPr>
          <w:rFonts w:ascii="Arial" w:hAnsi="Arial" w:cs="Arial"/>
          <w:sz w:val="22"/>
          <w:szCs w:val="22"/>
          <w:lang w:val="hr-HR"/>
        </w:rPr>
        <w:t>ovoj skupini poduzetnika</w:t>
      </w:r>
      <w:r w:rsidR="00EE2BDF" w:rsidRPr="007349CF">
        <w:rPr>
          <w:rFonts w:ascii="Arial" w:hAnsi="Arial" w:cs="Arial"/>
          <w:color w:val="auto"/>
          <w:sz w:val="22"/>
          <w:szCs w:val="22"/>
          <w:lang w:val="hr-HR"/>
        </w:rPr>
        <w:t>.</w:t>
      </w:r>
      <w:r w:rsidR="00672250" w:rsidRPr="007349CF">
        <w:rPr>
          <w:rFonts w:ascii="Arial" w:hAnsi="Arial" w:cs="Arial"/>
          <w:color w:val="auto"/>
          <w:sz w:val="22"/>
          <w:szCs w:val="22"/>
          <w:lang w:val="hr-HR"/>
        </w:rPr>
        <w:t xml:space="preserve"> </w:t>
      </w:r>
    </w:p>
    <w:p w14:paraId="761D75D2" w14:textId="77777777" w:rsidR="00D53337" w:rsidRPr="007349CF" w:rsidRDefault="00D53337" w:rsidP="00672250">
      <w:pPr>
        <w:pStyle w:val="Default"/>
        <w:jc w:val="both"/>
        <w:rPr>
          <w:rFonts w:ascii="Arial" w:hAnsi="Arial" w:cs="Arial"/>
          <w:color w:val="auto"/>
          <w:sz w:val="22"/>
          <w:szCs w:val="22"/>
          <w:lang w:val="hr-HR"/>
        </w:rPr>
      </w:pPr>
    </w:p>
    <w:p w14:paraId="633DEE07" w14:textId="77777777" w:rsidR="002410D6" w:rsidRPr="007349CF" w:rsidRDefault="00DE40D4" w:rsidP="00E538E2">
      <w:pPr>
        <w:pStyle w:val="Default"/>
        <w:jc w:val="both"/>
        <w:rPr>
          <w:rFonts w:ascii="Arial" w:hAnsi="Arial" w:cs="Arial"/>
          <w:sz w:val="22"/>
          <w:szCs w:val="22"/>
          <w:lang w:val="hr-HR"/>
        </w:rPr>
      </w:pPr>
      <w:r w:rsidRPr="007349CF">
        <w:rPr>
          <w:rFonts w:ascii="Arial" w:hAnsi="Arial" w:cs="Arial"/>
          <w:color w:val="auto"/>
          <w:sz w:val="22"/>
          <w:szCs w:val="22"/>
          <w:lang w:val="hr-HR"/>
        </w:rPr>
        <w:t>Program</w:t>
      </w:r>
      <w:r w:rsidR="00672250" w:rsidRPr="007349CF">
        <w:rPr>
          <w:rFonts w:ascii="Arial" w:hAnsi="Arial" w:cs="Arial"/>
          <w:color w:val="auto"/>
          <w:sz w:val="22"/>
          <w:szCs w:val="22"/>
          <w:lang w:val="hr-HR"/>
        </w:rPr>
        <w:t xml:space="preserve"> </w:t>
      </w:r>
      <w:r w:rsidR="00B65F81" w:rsidRPr="007349CF">
        <w:rPr>
          <w:rFonts w:ascii="Arial" w:hAnsi="Arial" w:cs="Arial"/>
          <w:color w:val="auto"/>
          <w:sz w:val="22"/>
          <w:szCs w:val="22"/>
          <w:lang w:val="hr-HR"/>
        </w:rPr>
        <w:t>je odobrila Vlada RH</w:t>
      </w:r>
      <w:r w:rsidR="00672250" w:rsidRPr="007349CF">
        <w:rPr>
          <w:rFonts w:ascii="Arial" w:hAnsi="Arial" w:cs="Arial"/>
          <w:color w:val="auto"/>
          <w:sz w:val="22"/>
          <w:szCs w:val="22"/>
          <w:lang w:val="hr-HR"/>
        </w:rPr>
        <w:t xml:space="preserve"> </w:t>
      </w:r>
      <w:r w:rsidR="006152AC" w:rsidRPr="007349CF">
        <w:rPr>
          <w:rFonts w:ascii="Arial" w:hAnsi="Arial" w:cs="Arial"/>
          <w:color w:val="auto"/>
          <w:sz w:val="22"/>
          <w:szCs w:val="22"/>
          <w:lang w:val="hr-HR"/>
        </w:rPr>
        <w:t>na sjednici održanoj 6. srpnja 2016</w:t>
      </w:r>
      <w:r w:rsidR="00B11D14" w:rsidRPr="007349CF">
        <w:rPr>
          <w:rFonts w:ascii="Arial" w:hAnsi="Arial" w:cs="Arial"/>
          <w:color w:val="auto"/>
          <w:sz w:val="22"/>
          <w:szCs w:val="22"/>
          <w:lang w:val="hr-HR"/>
        </w:rPr>
        <w:t>.</w:t>
      </w:r>
      <w:r w:rsidR="00672250" w:rsidRPr="007349CF">
        <w:rPr>
          <w:rFonts w:ascii="Arial" w:hAnsi="Arial" w:cs="Arial"/>
          <w:color w:val="auto"/>
          <w:sz w:val="22"/>
          <w:szCs w:val="22"/>
          <w:lang w:val="hr-HR"/>
        </w:rPr>
        <w:t xml:space="preserve"> </w:t>
      </w:r>
      <w:r w:rsidR="00B11D14" w:rsidRPr="007349CF">
        <w:rPr>
          <w:rFonts w:ascii="Arial" w:hAnsi="Arial" w:cs="Arial"/>
          <w:sz w:val="22"/>
          <w:szCs w:val="22"/>
          <w:lang w:val="hr-HR"/>
        </w:rPr>
        <w:t>odnosno Upravni odbor HAMAG-BICRO-a na sjednici održanoj 27. srpnja 2016.</w:t>
      </w:r>
      <w:r w:rsidR="00B11D14" w:rsidRPr="007349CF">
        <w:rPr>
          <w:rFonts w:ascii="Arial" w:hAnsi="Arial" w:cs="Arial"/>
          <w:color w:val="auto"/>
          <w:sz w:val="22"/>
          <w:szCs w:val="22"/>
          <w:lang w:val="hr-HR"/>
        </w:rPr>
        <w:t xml:space="preserve">  </w:t>
      </w:r>
      <w:r w:rsidR="00B65F81" w:rsidRPr="007349CF">
        <w:rPr>
          <w:rFonts w:ascii="Arial" w:hAnsi="Arial" w:cs="Arial"/>
          <w:color w:val="auto"/>
          <w:sz w:val="22"/>
          <w:szCs w:val="22"/>
          <w:lang w:val="hr-HR"/>
        </w:rPr>
        <w:t xml:space="preserve">te je </w:t>
      </w:r>
      <w:r w:rsidR="00B11D14" w:rsidRPr="007349CF">
        <w:rPr>
          <w:rFonts w:ascii="Arial" w:hAnsi="Arial" w:cs="Arial"/>
          <w:color w:val="auto"/>
          <w:sz w:val="22"/>
          <w:szCs w:val="22"/>
          <w:lang w:val="hr-HR"/>
        </w:rPr>
        <w:t xml:space="preserve">isti </w:t>
      </w:r>
      <w:r w:rsidR="00B65F81" w:rsidRPr="007349CF">
        <w:rPr>
          <w:rFonts w:ascii="Arial" w:hAnsi="Arial" w:cs="Arial"/>
          <w:color w:val="auto"/>
          <w:sz w:val="22"/>
          <w:szCs w:val="22"/>
          <w:lang w:val="hr-HR"/>
        </w:rPr>
        <w:t>uključen kao</w:t>
      </w:r>
      <w:r w:rsidR="00672250" w:rsidRPr="007349CF">
        <w:rPr>
          <w:rFonts w:ascii="Arial" w:hAnsi="Arial" w:cs="Arial"/>
          <w:color w:val="auto"/>
          <w:sz w:val="22"/>
          <w:szCs w:val="22"/>
          <w:lang w:val="hr-HR"/>
        </w:rPr>
        <w:t xml:space="preserve"> </w:t>
      </w:r>
      <w:r w:rsidR="00B65F81" w:rsidRPr="007349CF">
        <w:rPr>
          <w:rFonts w:ascii="Arial" w:hAnsi="Arial" w:cs="Arial"/>
          <w:color w:val="auto"/>
          <w:sz w:val="22"/>
          <w:szCs w:val="22"/>
          <w:u w:val="single"/>
          <w:lang w:val="hr-HR"/>
        </w:rPr>
        <w:t xml:space="preserve">Prilog </w:t>
      </w:r>
      <w:r w:rsidR="00672250" w:rsidRPr="007349CF">
        <w:rPr>
          <w:rFonts w:ascii="Arial" w:hAnsi="Arial" w:cs="Arial"/>
          <w:color w:val="auto"/>
          <w:sz w:val="22"/>
          <w:szCs w:val="22"/>
          <w:u w:val="single"/>
          <w:lang w:val="hr-HR"/>
        </w:rPr>
        <w:t>I</w:t>
      </w:r>
      <w:r w:rsidR="00672250" w:rsidRPr="007349CF">
        <w:rPr>
          <w:rFonts w:ascii="Arial" w:hAnsi="Arial" w:cs="Arial"/>
          <w:color w:val="auto"/>
          <w:sz w:val="22"/>
          <w:szCs w:val="22"/>
          <w:lang w:val="hr-HR"/>
        </w:rPr>
        <w:t xml:space="preserve"> </w:t>
      </w:r>
      <w:r w:rsidR="00B65F81" w:rsidRPr="007349CF">
        <w:rPr>
          <w:rFonts w:ascii="Arial" w:hAnsi="Arial" w:cs="Arial"/>
          <w:color w:val="auto"/>
          <w:sz w:val="22"/>
          <w:szCs w:val="22"/>
          <w:lang w:val="hr-HR"/>
        </w:rPr>
        <w:t>ovom</w:t>
      </w:r>
      <w:r w:rsidR="00672250" w:rsidRPr="007349CF">
        <w:rPr>
          <w:rFonts w:ascii="Arial" w:hAnsi="Arial" w:cs="Arial"/>
          <w:color w:val="auto"/>
          <w:sz w:val="22"/>
          <w:szCs w:val="22"/>
          <w:lang w:val="hr-HR"/>
        </w:rPr>
        <w:t xml:space="preserve"> </w:t>
      </w:r>
      <w:r w:rsidR="00B65F81" w:rsidRPr="007349CF">
        <w:rPr>
          <w:rFonts w:ascii="Arial" w:hAnsi="Arial" w:cs="Arial"/>
          <w:color w:val="auto"/>
          <w:sz w:val="22"/>
          <w:szCs w:val="22"/>
          <w:lang w:val="hr-HR"/>
        </w:rPr>
        <w:t>Pozivu na iskazivanje interesa</w:t>
      </w:r>
      <w:r w:rsidR="00D53337" w:rsidRPr="007349CF">
        <w:rPr>
          <w:rFonts w:ascii="Arial" w:hAnsi="Arial" w:cs="Arial"/>
          <w:sz w:val="22"/>
          <w:szCs w:val="22"/>
          <w:lang w:val="hr-HR"/>
        </w:rPr>
        <w:t xml:space="preserve"> (</w:t>
      </w:r>
      <w:r w:rsidR="00E3060F" w:rsidRPr="007349CF">
        <w:rPr>
          <w:rFonts w:ascii="Arial" w:hAnsi="Arial" w:cs="Arial"/>
          <w:sz w:val="22"/>
          <w:szCs w:val="22"/>
          <w:lang w:val="hr-HR"/>
        </w:rPr>
        <w:t xml:space="preserve">nadalje: </w:t>
      </w:r>
      <w:r w:rsidR="00B65F81" w:rsidRPr="007349CF">
        <w:rPr>
          <w:rFonts w:ascii="Arial" w:hAnsi="Arial" w:cs="Arial"/>
          <w:sz w:val="22"/>
          <w:szCs w:val="22"/>
          <w:lang w:val="hr-HR"/>
        </w:rPr>
        <w:t>„</w:t>
      </w:r>
      <w:r w:rsidR="00B65F81" w:rsidRPr="007349CF">
        <w:rPr>
          <w:rFonts w:ascii="Arial" w:hAnsi="Arial" w:cs="Arial"/>
          <w:b/>
          <w:sz w:val="22"/>
          <w:szCs w:val="22"/>
          <w:lang w:val="hr-HR"/>
        </w:rPr>
        <w:t>Poziv</w:t>
      </w:r>
      <w:r w:rsidR="00B65F81" w:rsidRPr="007349CF">
        <w:rPr>
          <w:rFonts w:ascii="Arial" w:hAnsi="Arial" w:cs="Arial"/>
          <w:sz w:val="22"/>
          <w:szCs w:val="22"/>
          <w:lang w:val="hr-HR"/>
        </w:rPr>
        <w:t>“</w:t>
      </w:r>
      <w:r w:rsidR="00D53337" w:rsidRPr="007349CF">
        <w:rPr>
          <w:rFonts w:ascii="Arial" w:hAnsi="Arial" w:cs="Arial"/>
          <w:sz w:val="22"/>
          <w:szCs w:val="22"/>
          <w:lang w:val="hr-HR"/>
        </w:rPr>
        <w:t>)</w:t>
      </w:r>
      <w:r w:rsidR="00B11D14" w:rsidRPr="007349CF">
        <w:rPr>
          <w:rFonts w:ascii="Arial" w:hAnsi="Arial" w:cs="Arial"/>
          <w:sz w:val="22"/>
          <w:szCs w:val="22"/>
          <w:lang w:val="hr-HR"/>
        </w:rPr>
        <w:t xml:space="preserve">. </w:t>
      </w:r>
      <w:r w:rsidR="00E3060F" w:rsidRPr="007349CF">
        <w:rPr>
          <w:rFonts w:ascii="Arial" w:hAnsi="Arial" w:cs="Arial"/>
          <w:sz w:val="22"/>
          <w:szCs w:val="22"/>
          <w:lang w:val="hr-HR"/>
        </w:rPr>
        <w:t>Mikro, mali i srednji subjekti malog gospodarstva (nadalje: „MSP“)</w:t>
      </w:r>
      <w:r w:rsidR="002410D6" w:rsidRPr="007349CF">
        <w:rPr>
          <w:rFonts w:ascii="Arial" w:hAnsi="Arial" w:cs="Arial"/>
          <w:sz w:val="22"/>
          <w:szCs w:val="22"/>
          <w:lang w:val="hr-HR"/>
        </w:rPr>
        <w:t xml:space="preserve"> </w:t>
      </w:r>
      <w:r w:rsidR="00CD007D" w:rsidRPr="007349CF">
        <w:rPr>
          <w:rFonts w:ascii="Arial" w:hAnsi="Arial" w:cs="Arial"/>
          <w:sz w:val="22"/>
          <w:szCs w:val="22"/>
          <w:lang w:val="hr-HR"/>
        </w:rPr>
        <w:t>prema definiciji iz Preporuke Komisije</w:t>
      </w:r>
      <w:r w:rsidR="002410D6" w:rsidRPr="007349CF">
        <w:rPr>
          <w:rFonts w:ascii="Arial" w:hAnsi="Arial" w:cs="Arial"/>
          <w:sz w:val="22"/>
          <w:szCs w:val="22"/>
          <w:lang w:val="hr-HR"/>
        </w:rPr>
        <w:t xml:space="preserve"> </w:t>
      </w:r>
      <w:r w:rsidR="00717FF3" w:rsidRPr="007349CF">
        <w:rPr>
          <w:rFonts w:ascii="Arial" w:hAnsi="Arial" w:cs="Arial"/>
          <w:sz w:val="22"/>
          <w:szCs w:val="22"/>
          <w:lang w:val="hr-HR"/>
        </w:rPr>
        <w:t>2003/361/</w:t>
      </w:r>
      <w:r w:rsidR="00CD007D" w:rsidRPr="007349CF">
        <w:rPr>
          <w:rFonts w:ascii="Arial" w:hAnsi="Arial" w:cs="Arial"/>
          <w:sz w:val="22"/>
          <w:szCs w:val="22"/>
          <w:lang w:val="hr-HR"/>
        </w:rPr>
        <w:t>EZ</w:t>
      </w:r>
      <w:r w:rsidR="00717FF3" w:rsidRPr="007349CF">
        <w:rPr>
          <w:rFonts w:ascii="Arial" w:hAnsi="Arial" w:cs="Arial"/>
          <w:sz w:val="22"/>
          <w:szCs w:val="22"/>
          <w:lang w:val="hr-HR"/>
        </w:rPr>
        <w:t xml:space="preserve"> (OJ L124, 20.05.2003</w:t>
      </w:r>
      <w:r w:rsidR="00CD007D" w:rsidRPr="007349CF">
        <w:rPr>
          <w:rFonts w:ascii="Arial" w:hAnsi="Arial" w:cs="Arial"/>
          <w:sz w:val="22"/>
          <w:szCs w:val="22"/>
          <w:lang w:val="hr-HR"/>
        </w:rPr>
        <w:t>.</w:t>
      </w:r>
      <w:r w:rsidR="00717FF3" w:rsidRPr="007349CF">
        <w:rPr>
          <w:rFonts w:ascii="Arial" w:hAnsi="Arial" w:cs="Arial"/>
          <w:sz w:val="22"/>
          <w:szCs w:val="22"/>
          <w:lang w:val="hr-HR"/>
        </w:rPr>
        <w:t>)</w:t>
      </w:r>
      <w:r w:rsidR="00D53337" w:rsidRPr="007349CF">
        <w:rPr>
          <w:rFonts w:ascii="Arial" w:hAnsi="Arial" w:cs="Arial"/>
          <w:sz w:val="22"/>
          <w:szCs w:val="22"/>
          <w:lang w:val="hr-HR"/>
        </w:rPr>
        <w:t xml:space="preserve"> </w:t>
      </w:r>
      <w:r w:rsidR="00CD007D" w:rsidRPr="007349CF">
        <w:rPr>
          <w:rFonts w:ascii="Arial" w:hAnsi="Arial" w:cs="Arial"/>
          <w:sz w:val="22"/>
          <w:szCs w:val="22"/>
          <w:lang w:val="hr-HR"/>
        </w:rPr>
        <w:t>su „</w:t>
      </w:r>
      <w:r w:rsidR="00CD007D" w:rsidRPr="007349CF">
        <w:rPr>
          <w:rFonts w:ascii="Arial" w:hAnsi="Arial" w:cs="Arial"/>
          <w:b/>
          <w:sz w:val="22"/>
          <w:szCs w:val="22"/>
          <w:lang w:val="hr-HR"/>
        </w:rPr>
        <w:t xml:space="preserve">Krajnji </w:t>
      </w:r>
      <w:r w:rsidR="007E635C" w:rsidRPr="007349CF">
        <w:rPr>
          <w:rFonts w:ascii="Arial" w:hAnsi="Arial" w:cs="Arial"/>
          <w:b/>
          <w:sz w:val="22"/>
          <w:szCs w:val="22"/>
          <w:lang w:val="hr-HR"/>
        </w:rPr>
        <w:t>primatelji</w:t>
      </w:r>
      <w:r w:rsidR="00CD007D" w:rsidRPr="007349CF">
        <w:rPr>
          <w:rFonts w:ascii="Arial" w:hAnsi="Arial" w:cs="Arial"/>
          <w:sz w:val="22"/>
          <w:szCs w:val="22"/>
          <w:lang w:val="hr-HR"/>
        </w:rPr>
        <w:t>“</w:t>
      </w:r>
      <w:r w:rsidR="00D53337" w:rsidRPr="007349CF">
        <w:rPr>
          <w:rFonts w:ascii="Arial" w:hAnsi="Arial" w:cs="Arial"/>
          <w:sz w:val="22"/>
          <w:szCs w:val="22"/>
          <w:lang w:val="hr-HR"/>
        </w:rPr>
        <w:t xml:space="preserve"> </w:t>
      </w:r>
      <w:r w:rsidR="00E3060F" w:rsidRPr="007349CF">
        <w:rPr>
          <w:rFonts w:ascii="Arial" w:hAnsi="Arial" w:cs="Arial"/>
          <w:sz w:val="22"/>
          <w:szCs w:val="22"/>
          <w:lang w:val="hr-HR"/>
        </w:rPr>
        <w:t xml:space="preserve">ovog </w:t>
      </w:r>
      <w:r w:rsidR="00CD007D" w:rsidRPr="007349CF">
        <w:rPr>
          <w:rFonts w:ascii="Arial" w:hAnsi="Arial" w:cs="Arial"/>
          <w:sz w:val="22"/>
          <w:szCs w:val="22"/>
          <w:lang w:val="hr-HR"/>
        </w:rPr>
        <w:t>Programa. Važeća definicija</w:t>
      </w:r>
      <w:r w:rsidR="001E768E" w:rsidRPr="007349CF">
        <w:rPr>
          <w:rFonts w:ascii="Arial" w:hAnsi="Arial" w:cs="Arial"/>
          <w:sz w:val="22"/>
          <w:szCs w:val="22"/>
          <w:lang w:val="hr-HR"/>
        </w:rPr>
        <w:t xml:space="preserve"> </w:t>
      </w:r>
      <w:r w:rsidR="00CD007D" w:rsidRPr="007349CF">
        <w:rPr>
          <w:rFonts w:ascii="Arial" w:hAnsi="Arial" w:cs="Arial"/>
          <w:sz w:val="22"/>
          <w:szCs w:val="22"/>
          <w:lang w:val="hr-HR"/>
        </w:rPr>
        <w:t xml:space="preserve">MSP-ova sadržana je u </w:t>
      </w:r>
      <w:r w:rsidR="00CD007D" w:rsidRPr="007349CF">
        <w:rPr>
          <w:rFonts w:ascii="Arial" w:hAnsi="Arial" w:cs="Arial"/>
          <w:sz w:val="22"/>
          <w:szCs w:val="22"/>
          <w:u w:val="single"/>
          <w:lang w:val="hr-HR"/>
        </w:rPr>
        <w:t>Prilogu</w:t>
      </w:r>
      <w:r w:rsidR="00E538E2" w:rsidRPr="007349CF">
        <w:rPr>
          <w:rFonts w:ascii="Arial" w:hAnsi="Arial" w:cs="Arial"/>
          <w:sz w:val="22"/>
          <w:szCs w:val="22"/>
          <w:u w:val="single"/>
          <w:lang w:val="hr-HR"/>
        </w:rPr>
        <w:t xml:space="preserve"> I</w:t>
      </w:r>
      <w:r w:rsidR="00672250" w:rsidRPr="007349CF">
        <w:rPr>
          <w:rFonts w:ascii="Arial" w:hAnsi="Arial" w:cs="Arial"/>
          <w:sz w:val="22"/>
          <w:szCs w:val="22"/>
          <w:u w:val="single"/>
          <w:lang w:val="hr-HR"/>
        </w:rPr>
        <w:t>I</w:t>
      </w:r>
      <w:r w:rsidR="00D53337" w:rsidRPr="007349CF">
        <w:rPr>
          <w:rFonts w:ascii="Arial" w:hAnsi="Arial" w:cs="Arial"/>
          <w:sz w:val="22"/>
          <w:szCs w:val="22"/>
          <w:lang w:val="hr-HR"/>
        </w:rPr>
        <w:t xml:space="preserve"> </w:t>
      </w:r>
      <w:r w:rsidR="00CD007D" w:rsidRPr="007349CF">
        <w:rPr>
          <w:rFonts w:ascii="Arial" w:hAnsi="Arial" w:cs="Arial"/>
          <w:sz w:val="22"/>
          <w:szCs w:val="22"/>
          <w:lang w:val="hr-HR"/>
        </w:rPr>
        <w:t>ovog</w:t>
      </w:r>
      <w:r w:rsidR="00D53337"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D007D" w:rsidRPr="007349CF">
        <w:rPr>
          <w:rFonts w:ascii="Arial" w:hAnsi="Arial" w:cs="Arial"/>
          <w:sz w:val="22"/>
          <w:szCs w:val="22"/>
          <w:lang w:val="hr-HR"/>
        </w:rPr>
        <w:t>a</w:t>
      </w:r>
      <w:r w:rsidR="00E538E2" w:rsidRPr="007349CF">
        <w:rPr>
          <w:rFonts w:ascii="Arial" w:hAnsi="Arial" w:cs="Arial"/>
          <w:sz w:val="22"/>
          <w:szCs w:val="22"/>
          <w:lang w:val="hr-HR"/>
        </w:rPr>
        <w:t xml:space="preserve">. </w:t>
      </w:r>
    </w:p>
    <w:p w14:paraId="59E15C61" w14:textId="77777777" w:rsidR="002410D6" w:rsidRPr="007349CF" w:rsidRDefault="002410D6" w:rsidP="00E538E2">
      <w:pPr>
        <w:pStyle w:val="Default"/>
        <w:jc w:val="both"/>
        <w:rPr>
          <w:rFonts w:ascii="Arial" w:hAnsi="Arial" w:cs="Arial"/>
          <w:sz w:val="22"/>
          <w:szCs w:val="22"/>
          <w:lang w:val="hr-HR"/>
        </w:rPr>
      </w:pPr>
    </w:p>
    <w:p w14:paraId="35A1ED46" w14:textId="77777777" w:rsidR="00E538E2" w:rsidRPr="007349CF" w:rsidRDefault="00E538E2" w:rsidP="00E538E2">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HAMAG-BICRO</w:t>
      </w:r>
      <w:r w:rsidR="00CD007D" w:rsidRPr="007349CF">
        <w:rPr>
          <w:rFonts w:ascii="Arial" w:eastAsiaTheme="minorHAnsi" w:hAnsi="Arial" w:cs="Arial"/>
          <w:color w:val="000000"/>
          <w:sz w:val="22"/>
          <w:szCs w:val="22"/>
          <w:lang w:val="hr-HR"/>
        </w:rPr>
        <w:t>-u je</w:t>
      </w:r>
      <w:r w:rsidRPr="007349CF">
        <w:rPr>
          <w:rFonts w:ascii="Arial" w:eastAsiaTheme="minorHAnsi" w:hAnsi="Arial" w:cs="Arial"/>
          <w:color w:val="000000"/>
          <w:sz w:val="22"/>
          <w:szCs w:val="22"/>
          <w:lang w:val="hr-HR"/>
        </w:rPr>
        <w:t xml:space="preserve"> Minist</w:t>
      </w:r>
      <w:r w:rsidR="00CD007D" w:rsidRPr="007349CF">
        <w:rPr>
          <w:rFonts w:ascii="Arial" w:eastAsiaTheme="minorHAnsi" w:hAnsi="Arial" w:cs="Arial"/>
          <w:color w:val="000000"/>
          <w:sz w:val="22"/>
          <w:szCs w:val="22"/>
          <w:lang w:val="hr-HR"/>
        </w:rPr>
        <w:t>a</w:t>
      </w:r>
      <w:r w:rsidRPr="007349CF">
        <w:rPr>
          <w:rFonts w:ascii="Arial" w:eastAsiaTheme="minorHAnsi" w:hAnsi="Arial" w:cs="Arial"/>
          <w:color w:val="000000"/>
          <w:sz w:val="22"/>
          <w:szCs w:val="22"/>
          <w:lang w:val="hr-HR"/>
        </w:rPr>
        <w:t>r</w:t>
      </w:r>
      <w:r w:rsidR="00CD007D" w:rsidRPr="007349CF">
        <w:rPr>
          <w:rFonts w:ascii="Arial" w:eastAsiaTheme="minorHAnsi" w:hAnsi="Arial" w:cs="Arial"/>
          <w:color w:val="000000"/>
          <w:sz w:val="22"/>
          <w:szCs w:val="22"/>
          <w:lang w:val="hr-HR"/>
        </w:rPr>
        <w:t xml:space="preserve">stvo regionalnog razvoja i fondova EU, </w:t>
      </w:r>
      <w:r w:rsidR="00B11D14" w:rsidRPr="007349CF">
        <w:rPr>
          <w:rFonts w:ascii="Arial" w:eastAsiaTheme="minorHAnsi" w:hAnsi="Arial" w:cs="Arial"/>
          <w:color w:val="000000"/>
          <w:sz w:val="22"/>
          <w:szCs w:val="22"/>
          <w:lang w:val="hr-HR"/>
        </w:rPr>
        <w:t xml:space="preserve">kao </w:t>
      </w:r>
      <w:r w:rsidR="00CD007D" w:rsidRPr="007349CF">
        <w:rPr>
          <w:rFonts w:ascii="Arial" w:eastAsiaTheme="minorHAnsi" w:hAnsi="Arial" w:cs="Arial"/>
          <w:color w:val="000000"/>
          <w:sz w:val="22"/>
          <w:szCs w:val="22"/>
          <w:lang w:val="hr-HR"/>
        </w:rPr>
        <w:t>„</w:t>
      </w:r>
      <w:r w:rsidR="00CD007D" w:rsidRPr="007349CF">
        <w:rPr>
          <w:rFonts w:ascii="Arial" w:eastAsiaTheme="minorHAnsi" w:hAnsi="Arial" w:cs="Arial"/>
          <w:b/>
          <w:bCs/>
          <w:color w:val="000000"/>
          <w:sz w:val="22"/>
          <w:szCs w:val="22"/>
          <w:lang w:val="hr-HR"/>
        </w:rPr>
        <w:t>Upravljačko tijelo</w:t>
      </w:r>
      <w:r w:rsidR="00CD007D" w:rsidRPr="007349CF">
        <w:rPr>
          <w:rFonts w:ascii="Arial" w:eastAsiaTheme="minorHAnsi" w:hAnsi="Arial" w:cs="Arial"/>
          <w:color w:val="000000"/>
          <w:sz w:val="22"/>
          <w:szCs w:val="22"/>
          <w:lang w:val="hr-HR"/>
        </w:rPr>
        <w:t>“</w:t>
      </w:r>
      <w:r w:rsidRPr="007349CF">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za </w:t>
      </w:r>
      <w:r w:rsidR="00B11D14" w:rsidRPr="007349CF">
        <w:rPr>
          <w:rFonts w:ascii="Arial" w:eastAsiaTheme="minorHAnsi" w:hAnsi="Arial" w:cs="Arial"/>
          <w:color w:val="000000"/>
          <w:sz w:val="22"/>
          <w:szCs w:val="22"/>
          <w:lang w:val="hr-HR"/>
        </w:rPr>
        <w:t>OPKK</w:t>
      </w:r>
      <w:r w:rsidR="00CD007D" w:rsidRPr="007349CF">
        <w:rPr>
          <w:rFonts w:ascii="Arial" w:eastAsiaTheme="minorHAnsi" w:hAnsi="Arial" w:cs="Arial"/>
          <w:b/>
          <w:bCs/>
          <w:color w:val="000000"/>
          <w:sz w:val="22"/>
          <w:szCs w:val="22"/>
          <w:lang w:val="hr-HR"/>
        </w:rPr>
        <w:t xml:space="preserve"> </w:t>
      </w:r>
      <w:r w:rsidRPr="007349CF">
        <w:rPr>
          <w:rFonts w:ascii="Arial" w:eastAsiaTheme="minorHAnsi" w:hAnsi="Arial" w:cs="Arial"/>
          <w:bCs/>
          <w:color w:val="000000"/>
          <w:sz w:val="22"/>
          <w:szCs w:val="22"/>
          <w:lang w:val="hr-HR"/>
        </w:rPr>
        <w:t>2014</w:t>
      </w:r>
      <w:r w:rsidR="00CD007D" w:rsidRPr="007349CF">
        <w:rPr>
          <w:rFonts w:ascii="Arial" w:eastAsiaTheme="minorHAnsi" w:hAnsi="Arial" w:cs="Arial"/>
          <w:bCs/>
          <w:color w:val="000000"/>
          <w:sz w:val="22"/>
          <w:szCs w:val="22"/>
          <w:lang w:val="hr-HR"/>
        </w:rPr>
        <w:t>.</w:t>
      </w:r>
      <w:r w:rsidRPr="007349CF">
        <w:rPr>
          <w:rFonts w:ascii="Arial" w:eastAsiaTheme="minorHAnsi" w:hAnsi="Arial" w:cs="Arial"/>
          <w:bCs/>
          <w:color w:val="000000"/>
          <w:sz w:val="22"/>
          <w:szCs w:val="22"/>
          <w:lang w:val="hr-HR"/>
        </w:rPr>
        <w:t>-2020</w:t>
      </w:r>
      <w:r w:rsidR="00B11D14" w:rsidRPr="007349CF">
        <w:rPr>
          <w:rFonts w:ascii="Arial" w:eastAsiaTheme="minorHAnsi" w:hAnsi="Arial" w:cs="Arial"/>
          <w:bCs/>
          <w:color w:val="000000"/>
          <w:sz w:val="22"/>
          <w:szCs w:val="22"/>
          <w:lang w:val="hr-HR"/>
        </w:rPr>
        <w:t>.</w:t>
      </w:r>
      <w:r w:rsidR="00CD007D" w:rsidRPr="007349CF">
        <w:rPr>
          <w:rFonts w:ascii="Arial" w:eastAsiaTheme="minorHAnsi" w:hAnsi="Arial" w:cs="Arial"/>
          <w:color w:val="000000"/>
          <w:sz w:val="22"/>
          <w:szCs w:val="22"/>
          <w:lang w:val="hr-HR"/>
        </w:rPr>
        <w:t xml:space="preserve"> povjerilo ulogu Financijskog posrednika koji upravlja </w:t>
      </w:r>
      <w:r w:rsidR="00DE40D4" w:rsidRPr="007349CF">
        <w:rPr>
          <w:rFonts w:ascii="Arial" w:eastAsiaTheme="minorHAnsi" w:hAnsi="Arial" w:cs="Arial"/>
          <w:color w:val="000000"/>
          <w:sz w:val="22"/>
          <w:szCs w:val="22"/>
          <w:lang w:val="hr-HR"/>
        </w:rPr>
        <w:t>Program</w:t>
      </w:r>
      <w:r w:rsidR="00CD007D" w:rsidRPr="007349CF">
        <w:rPr>
          <w:rFonts w:ascii="Arial" w:eastAsiaTheme="minorHAnsi" w:hAnsi="Arial" w:cs="Arial"/>
          <w:color w:val="000000"/>
          <w:sz w:val="22"/>
          <w:szCs w:val="22"/>
          <w:lang w:val="hr-HR"/>
        </w:rPr>
        <w:t>om u korist prihvatljivih</w:t>
      </w:r>
      <w:r w:rsidR="00672250" w:rsidRPr="007349CF">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Krajnjih </w:t>
      </w:r>
      <w:r w:rsidR="007E635C" w:rsidRPr="007349CF">
        <w:rPr>
          <w:rFonts w:ascii="Arial" w:eastAsiaTheme="minorHAnsi" w:hAnsi="Arial" w:cs="Arial"/>
          <w:color w:val="000000"/>
          <w:sz w:val="22"/>
          <w:szCs w:val="22"/>
          <w:lang w:val="hr-HR"/>
        </w:rPr>
        <w:t>primatelja</w:t>
      </w:r>
      <w:r w:rsidRPr="007349CF">
        <w:rPr>
          <w:rFonts w:ascii="Arial" w:eastAsiaTheme="minorHAnsi" w:hAnsi="Arial" w:cs="Arial"/>
          <w:color w:val="000000"/>
          <w:sz w:val="22"/>
          <w:szCs w:val="22"/>
          <w:lang w:val="hr-HR"/>
        </w:rPr>
        <w:t>.</w:t>
      </w:r>
      <w:r w:rsidR="000F0DE9" w:rsidRPr="007349CF">
        <w:rPr>
          <w:rFonts w:ascii="Arial" w:eastAsiaTheme="minorHAnsi" w:hAnsi="Arial" w:cs="Arial"/>
          <w:color w:val="000000"/>
          <w:sz w:val="22"/>
          <w:szCs w:val="22"/>
          <w:lang w:val="hr-HR"/>
        </w:rPr>
        <w:t xml:space="preserve"> </w:t>
      </w:r>
      <w:r w:rsidR="00CD007D" w:rsidRPr="007349CF">
        <w:rPr>
          <w:rFonts w:ascii="Arial" w:eastAsiaTheme="minorHAnsi" w:hAnsi="Arial" w:cs="Arial"/>
          <w:color w:val="000000"/>
          <w:sz w:val="22"/>
          <w:szCs w:val="22"/>
          <w:lang w:val="hr-HR"/>
        </w:rPr>
        <w:t xml:space="preserve">Prihvatljivost Krajnjih </w:t>
      </w:r>
      <w:r w:rsidR="007E635C" w:rsidRPr="007349CF">
        <w:rPr>
          <w:rFonts w:ascii="Arial" w:eastAsiaTheme="minorHAnsi" w:hAnsi="Arial" w:cs="Arial"/>
          <w:color w:val="000000"/>
          <w:sz w:val="22"/>
          <w:szCs w:val="22"/>
          <w:lang w:val="hr-HR"/>
        </w:rPr>
        <w:t>primatelja</w:t>
      </w:r>
      <w:r w:rsidR="00CD007D" w:rsidRPr="007349CF">
        <w:rPr>
          <w:rFonts w:ascii="Arial" w:eastAsiaTheme="minorHAnsi" w:hAnsi="Arial" w:cs="Arial"/>
          <w:color w:val="000000"/>
          <w:sz w:val="22"/>
          <w:szCs w:val="22"/>
          <w:lang w:val="hr-HR"/>
        </w:rPr>
        <w:t xml:space="preserve"> je</w:t>
      </w:r>
      <w:r w:rsidR="000F0DE9" w:rsidRPr="007349CF">
        <w:rPr>
          <w:rFonts w:ascii="Arial" w:eastAsiaTheme="minorHAnsi" w:hAnsi="Arial" w:cs="Arial"/>
          <w:color w:val="000000"/>
          <w:sz w:val="22"/>
          <w:szCs w:val="22"/>
          <w:lang w:val="hr-HR"/>
        </w:rPr>
        <w:t xml:space="preserve"> defin</w:t>
      </w:r>
      <w:r w:rsidR="00CD007D" w:rsidRPr="007349CF">
        <w:rPr>
          <w:rFonts w:ascii="Arial" w:eastAsiaTheme="minorHAnsi" w:hAnsi="Arial" w:cs="Arial"/>
          <w:color w:val="000000"/>
          <w:sz w:val="22"/>
          <w:szCs w:val="22"/>
          <w:lang w:val="hr-HR"/>
        </w:rPr>
        <w:t xml:space="preserve">irana temeljem </w:t>
      </w:r>
      <w:r w:rsidR="00DE40D4" w:rsidRPr="007349CF">
        <w:rPr>
          <w:rFonts w:ascii="Arial" w:eastAsiaTheme="minorHAnsi" w:hAnsi="Arial" w:cs="Arial"/>
          <w:color w:val="000000"/>
          <w:sz w:val="22"/>
          <w:szCs w:val="22"/>
          <w:lang w:val="hr-HR"/>
        </w:rPr>
        <w:t>Program</w:t>
      </w:r>
      <w:r w:rsidR="00CD007D" w:rsidRPr="007349CF">
        <w:rPr>
          <w:rFonts w:ascii="Arial" w:eastAsiaTheme="minorHAnsi" w:hAnsi="Arial" w:cs="Arial"/>
          <w:color w:val="000000"/>
          <w:sz w:val="22"/>
          <w:szCs w:val="22"/>
          <w:lang w:val="hr-HR"/>
        </w:rPr>
        <w:t>a</w:t>
      </w:r>
      <w:r w:rsidR="000F0DE9" w:rsidRPr="007349CF">
        <w:rPr>
          <w:rFonts w:ascii="Arial" w:eastAsiaTheme="minorHAnsi" w:hAnsi="Arial" w:cs="Arial"/>
          <w:color w:val="000000"/>
          <w:sz w:val="22"/>
          <w:szCs w:val="22"/>
          <w:lang w:val="hr-HR"/>
        </w:rPr>
        <w:t>.</w:t>
      </w:r>
    </w:p>
    <w:p w14:paraId="20186FD2" w14:textId="77777777" w:rsidR="00E538E2" w:rsidRPr="007349CF" w:rsidRDefault="00E538E2" w:rsidP="00E538E2">
      <w:pPr>
        <w:autoSpaceDE w:val="0"/>
        <w:autoSpaceDN w:val="0"/>
        <w:adjustRightInd w:val="0"/>
        <w:spacing w:after="0"/>
        <w:rPr>
          <w:rFonts w:ascii="Arial" w:eastAsiaTheme="minorHAnsi" w:hAnsi="Arial" w:cs="Arial"/>
          <w:color w:val="000000"/>
          <w:sz w:val="22"/>
          <w:szCs w:val="22"/>
          <w:lang w:val="hr-HR"/>
        </w:rPr>
      </w:pPr>
    </w:p>
    <w:p w14:paraId="64869983" w14:textId="2F6A062F" w:rsidR="004135CC" w:rsidRPr="007349CF" w:rsidRDefault="00CD007D" w:rsidP="004135CC">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Temeljem</w:t>
      </w:r>
      <w:r w:rsidR="00E538E2" w:rsidRPr="007349CF">
        <w:rPr>
          <w:rFonts w:ascii="Arial" w:eastAsiaTheme="minorHAnsi" w:hAnsi="Arial" w:cs="Arial"/>
          <w:color w:val="000000"/>
          <w:sz w:val="22"/>
          <w:szCs w:val="22"/>
          <w:lang w:val="hr-HR"/>
        </w:rPr>
        <w:t xml:space="preserve"> </w:t>
      </w:r>
      <w:r w:rsidR="00DE40D4" w:rsidRPr="007349CF">
        <w:rPr>
          <w:rFonts w:ascii="Arial" w:eastAsiaTheme="minorHAnsi" w:hAnsi="Arial" w:cs="Arial"/>
          <w:color w:val="000000"/>
          <w:sz w:val="22"/>
          <w:szCs w:val="22"/>
          <w:lang w:val="hr-HR"/>
        </w:rPr>
        <w:t>Program</w:t>
      </w:r>
      <w:r w:rsidRPr="007349CF">
        <w:rPr>
          <w:rFonts w:ascii="Arial" w:eastAsiaTheme="minorHAnsi" w:hAnsi="Arial" w:cs="Arial"/>
          <w:color w:val="000000"/>
          <w:sz w:val="22"/>
          <w:szCs w:val="22"/>
          <w:lang w:val="hr-HR"/>
        </w:rPr>
        <w:t>a</w:t>
      </w:r>
      <w:r w:rsidR="00E538E2" w:rsidRPr="007349CF">
        <w:rPr>
          <w:rFonts w:ascii="Arial" w:eastAsiaTheme="minorHAnsi" w:hAnsi="Arial" w:cs="Arial"/>
          <w:color w:val="000000"/>
          <w:sz w:val="22"/>
          <w:szCs w:val="22"/>
          <w:lang w:val="hr-HR"/>
        </w:rPr>
        <w:t xml:space="preserve">, HAMAG-BICRO </w:t>
      </w:r>
      <w:r w:rsidRPr="007349CF">
        <w:rPr>
          <w:rFonts w:ascii="Arial" w:eastAsiaTheme="minorHAnsi" w:hAnsi="Arial" w:cs="Arial"/>
          <w:color w:val="000000"/>
          <w:sz w:val="22"/>
          <w:szCs w:val="22"/>
          <w:lang w:val="hr-HR"/>
        </w:rPr>
        <w:t xml:space="preserve">će </w:t>
      </w:r>
      <w:r w:rsidR="005D0232" w:rsidRPr="007349CF">
        <w:rPr>
          <w:rFonts w:ascii="Arial" w:eastAsiaTheme="minorHAnsi" w:hAnsi="Arial" w:cs="Arial"/>
          <w:color w:val="000000"/>
          <w:sz w:val="22"/>
          <w:szCs w:val="22"/>
          <w:lang w:val="hr-HR"/>
        </w:rPr>
        <w:t xml:space="preserve">za </w:t>
      </w:r>
      <w:r w:rsidRPr="007349CF">
        <w:rPr>
          <w:rFonts w:ascii="Arial" w:eastAsiaTheme="minorHAnsi" w:hAnsi="Arial" w:cs="Arial"/>
          <w:color w:val="000000"/>
          <w:sz w:val="22"/>
          <w:szCs w:val="22"/>
          <w:lang w:val="hr-HR"/>
        </w:rPr>
        <w:t>odabran</w:t>
      </w:r>
      <w:r w:rsidR="005D0232" w:rsidRPr="007349CF">
        <w:rPr>
          <w:rFonts w:ascii="Arial" w:eastAsiaTheme="minorHAnsi" w:hAnsi="Arial" w:cs="Arial"/>
          <w:color w:val="000000"/>
          <w:sz w:val="22"/>
          <w:szCs w:val="22"/>
          <w:lang w:val="hr-HR"/>
        </w:rPr>
        <w:t>e</w:t>
      </w:r>
      <w:r w:rsidR="00E538E2"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Financijsk</w:t>
      </w:r>
      <w:r w:rsidR="005D0232" w:rsidRPr="007349CF">
        <w:rPr>
          <w:rFonts w:ascii="Arial" w:eastAsiaTheme="minorHAnsi" w:hAnsi="Arial" w:cs="Arial"/>
          <w:color w:val="000000"/>
          <w:sz w:val="22"/>
          <w:szCs w:val="22"/>
          <w:lang w:val="hr-HR"/>
        </w:rPr>
        <w:t>e</w:t>
      </w:r>
      <w:r w:rsidRPr="007349CF">
        <w:rPr>
          <w:rFonts w:ascii="Arial" w:eastAsiaTheme="minorHAnsi" w:hAnsi="Arial" w:cs="Arial"/>
          <w:color w:val="000000"/>
          <w:sz w:val="22"/>
          <w:szCs w:val="22"/>
          <w:lang w:val="hr-HR"/>
        </w:rPr>
        <w:t xml:space="preserve"> institucij</w:t>
      </w:r>
      <w:r w:rsidR="005D0232" w:rsidRPr="007349CF">
        <w:rPr>
          <w:rFonts w:ascii="Arial" w:eastAsiaTheme="minorHAnsi" w:hAnsi="Arial" w:cs="Arial"/>
          <w:color w:val="000000"/>
          <w:sz w:val="22"/>
          <w:szCs w:val="22"/>
          <w:lang w:val="hr-HR"/>
        </w:rPr>
        <w:t>e</w:t>
      </w:r>
      <w:r w:rsidR="00E538E2"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 xml:space="preserve">na </w:t>
      </w:r>
      <w:r w:rsidR="00470DAA" w:rsidRPr="007349CF">
        <w:rPr>
          <w:rFonts w:ascii="Arial" w:eastAsiaTheme="minorHAnsi" w:hAnsi="Arial" w:cs="Arial"/>
          <w:color w:val="000000"/>
          <w:sz w:val="22"/>
          <w:szCs w:val="22"/>
          <w:lang w:val="hr-HR"/>
        </w:rPr>
        <w:t>razini pojedinačnog zajma</w:t>
      </w:r>
      <w:r w:rsidR="00E538E2" w:rsidRPr="007349CF">
        <w:rPr>
          <w:rFonts w:ascii="Arial" w:eastAsiaTheme="minorHAnsi" w:hAnsi="Arial" w:cs="Arial"/>
          <w:color w:val="000000"/>
          <w:sz w:val="22"/>
          <w:szCs w:val="22"/>
          <w:lang w:val="hr-HR"/>
        </w:rPr>
        <w:t xml:space="preserve">, </w:t>
      </w:r>
      <w:r w:rsidR="00E3060F" w:rsidRPr="007349CF">
        <w:rPr>
          <w:rFonts w:ascii="Arial" w:eastAsiaTheme="minorHAnsi" w:hAnsi="Arial" w:cs="Arial"/>
          <w:color w:val="000000"/>
          <w:sz w:val="22"/>
          <w:szCs w:val="22"/>
          <w:lang w:val="hr-HR"/>
        </w:rPr>
        <w:t>odobravati jamstvo kojim se osigurava</w:t>
      </w:r>
      <w:r w:rsidR="005D0232" w:rsidRPr="007349CF">
        <w:rPr>
          <w:rFonts w:ascii="Arial" w:eastAsiaTheme="minorHAnsi" w:hAnsi="Arial" w:cs="Arial"/>
          <w:color w:val="000000"/>
          <w:sz w:val="22"/>
          <w:szCs w:val="22"/>
          <w:lang w:val="hr-HR"/>
        </w:rPr>
        <w:t xml:space="preserve"> pokriće </w:t>
      </w:r>
      <w:r w:rsidR="003F03AF" w:rsidRPr="007349CF">
        <w:rPr>
          <w:rFonts w:ascii="Arial" w:eastAsiaTheme="minorHAnsi" w:hAnsi="Arial" w:cs="Arial"/>
          <w:color w:val="000000"/>
          <w:sz w:val="22"/>
          <w:szCs w:val="22"/>
          <w:lang w:val="hr-HR"/>
        </w:rPr>
        <w:t xml:space="preserve">dijela </w:t>
      </w:r>
      <w:r w:rsidR="005D0232" w:rsidRPr="007349CF">
        <w:rPr>
          <w:rFonts w:ascii="Arial" w:eastAsiaTheme="minorHAnsi" w:hAnsi="Arial" w:cs="Arial"/>
          <w:color w:val="000000"/>
          <w:sz w:val="22"/>
          <w:szCs w:val="22"/>
          <w:lang w:val="hr-HR"/>
        </w:rPr>
        <w:t>kreditnog rizika</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U sklopu</w:t>
      </w:r>
      <w:r w:rsidR="00CA7791" w:rsidRPr="007349CF">
        <w:rPr>
          <w:rFonts w:ascii="Arial" w:eastAsiaTheme="minorHAnsi" w:hAnsi="Arial" w:cs="Arial"/>
          <w:color w:val="000000"/>
          <w:sz w:val="22"/>
          <w:szCs w:val="22"/>
          <w:lang w:val="hr-HR"/>
        </w:rPr>
        <w:t xml:space="preserve"> </w:t>
      </w:r>
      <w:r w:rsidR="00DE40D4" w:rsidRPr="007349CF">
        <w:rPr>
          <w:rFonts w:ascii="Arial" w:eastAsiaTheme="minorHAnsi" w:hAnsi="Arial" w:cs="Arial"/>
          <w:color w:val="000000"/>
          <w:sz w:val="22"/>
          <w:szCs w:val="22"/>
          <w:lang w:val="hr-HR"/>
        </w:rPr>
        <w:t>Program</w:t>
      </w:r>
      <w:r w:rsidR="005D0232" w:rsidRPr="007349CF">
        <w:rPr>
          <w:rFonts w:ascii="Arial" w:eastAsiaTheme="minorHAnsi" w:hAnsi="Arial" w:cs="Arial"/>
          <w:color w:val="000000"/>
          <w:sz w:val="22"/>
          <w:szCs w:val="22"/>
          <w:lang w:val="hr-HR"/>
        </w:rPr>
        <w:t>a</w:t>
      </w:r>
      <w:r w:rsidR="00CA7791"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 xml:space="preserve">Financijske </w:t>
      </w:r>
      <w:r w:rsidR="005D0232" w:rsidRPr="007349CF">
        <w:rPr>
          <w:rFonts w:ascii="Arial" w:eastAsiaTheme="minorHAnsi" w:hAnsi="Arial" w:cs="Arial"/>
          <w:color w:val="000000"/>
          <w:sz w:val="22"/>
          <w:szCs w:val="22"/>
          <w:lang w:val="hr-HR"/>
        </w:rPr>
        <w:t xml:space="preserve">će </w:t>
      </w:r>
      <w:r w:rsidRPr="007349CF">
        <w:rPr>
          <w:rFonts w:ascii="Arial" w:eastAsiaTheme="minorHAnsi" w:hAnsi="Arial" w:cs="Arial"/>
          <w:color w:val="000000"/>
          <w:sz w:val="22"/>
          <w:szCs w:val="22"/>
          <w:lang w:val="hr-HR"/>
        </w:rPr>
        <w:t>institucije</w:t>
      </w:r>
      <w:r w:rsidR="00CA7791"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stvoriti portfelj novih zajmova vlastitim sredstvima i rizik koji zadržavaju</w:t>
      </w:r>
      <w:r w:rsidR="00CA7791"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ni u kojem slučaju ne smije biti manji od</w:t>
      </w:r>
      <w:r w:rsidR="006C1AB7" w:rsidRPr="007349CF">
        <w:rPr>
          <w:rFonts w:ascii="Arial" w:eastAsiaTheme="minorHAnsi" w:hAnsi="Arial" w:cs="Arial"/>
          <w:color w:val="000000"/>
          <w:sz w:val="22"/>
          <w:szCs w:val="22"/>
          <w:lang w:val="hr-HR"/>
        </w:rPr>
        <w:t xml:space="preserve"> 20</w:t>
      </w:r>
      <w:r w:rsidR="005D0232" w:rsidRPr="007349CF">
        <w:rPr>
          <w:rFonts w:ascii="Arial" w:eastAsiaTheme="minorHAnsi" w:hAnsi="Arial" w:cs="Arial"/>
          <w:color w:val="000000"/>
          <w:sz w:val="22"/>
          <w:szCs w:val="22"/>
          <w:lang w:val="hr-HR"/>
        </w:rPr>
        <w:t xml:space="preserve"> </w:t>
      </w:r>
      <w:r w:rsidR="006C1AB7"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iznosa</w:t>
      </w:r>
      <w:r w:rsidR="003F03AF" w:rsidRPr="007349CF">
        <w:rPr>
          <w:rFonts w:ascii="Arial" w:eastAsiaTheme="minorHAnsi" w:hAnsi="Arial" w:cs="Arial"/>
          <w:color w:val="000000"/>
          <w:sz w:val="22"/>
          <w:szCs w:val="22"/>
          <w:lang w:val="hr-HR"/>
        </w:rPr>
        <w:t xml:space="preserve"> glavnice</w:t>
      </w:r>
      <w:r w:rsidR="005D0232" w:rsidRPr="007349CF">
        <w:rPr>
          <w:rFonts w:ascii="Arial" w:eastAsiaTheme="minorHAnsi" w:hAnsi="Arial" w:cs="Arial"/>
          <w:color w:val="000000"/>
          <w:sz w:val="22"/>
          <w:szCs w:val="22"/>
          <w:lang w:val="hr-HR"/>
        </w:rPr>
        <w:t xml:space="preserve"> </w:t>
      </w:r>
      <w:r w:rsidR="00570EA2">
        <w:rPr>
          <w:rFonts w:ascii="Arial" w:eastAsiaTheme="minorHAnsi" w:hAnsi="Arial" w:cs="Arial"/>
          <w:color w:val="000000"/>
          <w:sz w:val="22"/>
          <w:szCs w:val="22"/>
          <w:lang w:val="hr-HR"/>
        </w:rPr>
        <w:t>kredita</w:t>
      </w:r>
      <w:r w:rsidR="006C1AB7" w:rsidRPr="007349CF">
        <w:rPr>
          <w:rFonts w:ascii="Arial" w:eastAsiaTheme="minorHAnsi" w:hAnsi="Arial" w:cs="Arial"/>
          <w:color w:val="000000"/>
          <w:sz w:val="22"/>
          <w:szCs w:val="22"/>
          <w:lang w:val="hr-HR"/>
        </w:rPr>
        <w:t xml:space="preserve">. </w:t>
      </w:r>
      <w:r w:rsidR="00181FE1" w:rsidRPr="007349CF">
        <w:rPr>
          <w:rFonts w:ascii="Arial" w:eastAsiaTheme="minorHAnsi" w:hAnsi="Arial" w:cs="Arial"/>
          <w:color w:val="000000"/>
          <w:sz w:val="22"/>
          <w:szCs w:val="22"/>
          <w:lang w:val="hr-HR"/>
        </w:rPr>
        <w:t>Program</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 xml:space="preserve">zajednički </w:t>
      </w:r>
      <w:r w:rsidR="00E538E2" w:rsidRPr="007349CF">
        <w:rPr>
          <w:rFonts w:ascii="Arial" w:eastAsiaTheme="minorHAnsi" w:hAnsi="Arial" w:cs="Arial"/>
          <w:color w:val="000000"/>
          <w:sz w:val="22"/>
          <w:szCs w:val="22"/>
          <w:lang w:val="hr-HR"/>
        </w:rPr>
        <w:t>financ</w:t>
      </w:r>
      <w:r w:rsidR="005D0232" w:rsidRPr="007349CF">
        <w:rPr>
          <w:rFonts w:ascii="Arial" w:eastAsiaTheme="minorHAnsi" w:hAnsi="Arial" w:cs="Arial"/>
          <w:color w:val="000000"/>
          <w:sz w:val="22"/>
          <w:szCs w:val="22"/>
          <w:lang w:val="hr-HR"/>
        </w:rPr>
        <w:t xml:space="preserve">iraju </w:t>
      </w:r>
      <w:r w:rsidR="005D0232" w:rsidRPr="007349CF">
        <w:rPr>
          <w:rFonts w:ascii="Arial" w:hAnsi="Arial" w:cs="Arial"/>
          <w:sz w:val="22"/>
          <w:szCs w:val="22"/>
          <w:lang w:val="hr-HR"/>
        </w:rPr>
        <w:t xml:space="preserve">Europska Unija </w:t>
      </w:r>
      <w:r w:rsidR="005D0232" w:rsidRPr="007349CF">
        <w:rPr>
          <w:rFonts w:ascii="Arial" w:eastAsiaTheme="minorHAnsi" w:hAnsi="Arial" w:cs="Arial"/>
          <w:color w:val="000000"/>
          <w:sz w:val="22"/>
          <w:szCs w:val="22"/>
          <w:lang w:val="hr-HR"/>
        </w:rPr>
        <w:t>i</w:t>
      </w:r>
      <w:r w:rsidR="00E538E2" w:rsidRPr="007349CF">
        <w:rPr>
          <w:rFonts w:ascii="Arial" w:eastAsiaTheme="minorHAnsi" w:hAnsi="Arial" w:cs="Arial"/>
          <w:color w:val="000000"/>
          <w:sz w:val="22"/>
          <w:szCs w:val="22"/>
          <w:lang w:val="hr-HR"/>
        </w:rPr>
        <w:t xml:space="preserve"> </w:t>
      </w:r>
      <w:r w:rsidR="005D0232" w:rsidRPr="007349CF">
        <w:rPr>
          <w:rFonts w:ascii="Arial" w:hAnsi="Arial" w:cs="Arial"/>
          <w:sz w:val="22"/>
          <w:szCs w:val="22"/>
          <w:lang w:val="hr-HR"/>
        </w:rPr>
        <w:t xml:space="preserve">Vlada RH </w:t>
      </w:r>
      <w:r w:rsidR="005D0232" w:rsidRPr="007349CF">
        <w:rPr>
          <w:rFonts w:ascii="Arial" w:eastAsiaTheme="minorHAnsi" w:hAnsi="Arial" w:cs="Arial"/>
          <w:color w:val="000000"/>
          <w:sz w:val="22"/>
          <w:szCs w:val="22"/>
          <w:lang w:val="hr-HR"/>
        </w:rPr>
        <w:t>te će se provoditi u Hrvatskoj.</w:t>
      </w:r>
    </w:p>
    <w:p w14:paraId="1ABC28B5" w14:textId="77777777" w:rsidR="004135CC" w:rsidRPr="007349CF" w:rsidRDefault="004135CC" w:rsidP="004135CC">
      <w:pPr>
        <w:autoSpaceDE w:val="0"/>
        <w:autoSpaceDN w:val="0"/>
        <w:adjustRightInd w:val="0"/>
        <w:spacing w:after="0"/>
        <w:rPr>
          <w:rFonts w:ascii="Arial" w:eastAsiaTheme="minorHAnsi" w:hAnsi="Arial" w:cs="Arial"/>
          <w:color w:val="000000"/>
          <w:sz w:val="22"/>
          <w:szCs w:val="22"/>
          <w:lang w:val="hr-HR"/>
        </w:rPr>
      </w:pPr>
    </w:p>
    <w:p w14:paraId="3F7273BB" w14:textId="77777777" w:rsidR="004135CC" w:rsidRPr="007349CF" w:rsidRDefault="00181FE1" w:rsidP="004135CC">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Pojedinačno jamstvo</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je</w:t>
      </w:r>
      <w:r w:rsidR="00E538E2" w:rsidRPr="007349CF">
        <w:rPr>
          <w:rFonts w:ascii="Arial" w:eastAsiaTheme="minorHAnsi" w:hAnsi="Arial" w:cs="Arial"/>
          <w:color w:val="000000"/>
          <w:sz w:val="22"/>
          <w:szCs w:val="22"/>
          <w:lang w:val="hr-HR"/>
        </w:rPr>
        <w:t xml:space="preserve"> financi</w:t>
      </w:r>
      <w:r w:rsidR="005D0232" w:rsidRPr="007349CF">
        <w:rPr>
          <w:rFonts w:ascii="Arial" w:eastAsiaTheme="minorHAnsi" w:hAnsi="Arial" w:cs="Arial"/>
          <w:color w:val="000000"/>
          <w:sz w:val="22"/>
          <w:szCs w:val="22"/>
          <w:lang w:val="hr-HR"/>
        </w:rPr>
        <w:t>jski</w:t>
      </w:r>
      <w:r w:rsidR="00E538E2" w:rsidRPr="007349CF">
        <w:rPr>
          <w:rFonts w:ascii="Arial" w:eastAsiaTheme="minorHAnsi" w:hAnsi="Arial" w:cs="Arial"/>
          <w:color w:val="000000"/>
          <w:sz w:val="22"/>
          <w:szCs w:val="22"/>
          <w:lang w:val="hr-HR"/>
        </w:rPr>
        <w:t xml:space="preserve"> instrument </w:t>
      </w:r>
      <w:r w:rsidR="005D0232" w:rsidRPr="007349CF">
        <w:rPr>
          <w:rFonts w:ascii="Arial" w:eastAsiaTheme="minorHAnsi" w:hAnsi="Arial" w:cs="Arial"/>
          <w:color w:val="000000"/>
          <w:sz w:val="22"/>
          <w:szCs w:val="22"/>
          <w:lang w:val="hr-HR"/>
        </w:rPr>
        <w:t xml:space="preserve">u smislu Uredbe br. </w:t>
      </w:r>
      <w:r w:rsidR="00E538E2" w:rsidRPr="007349CF">
        <w:rPr>
          <w:rFonts w:ascii="Arial" w:eastAsiaTheme="minorHAnsi" w:hAnsi="Arial" w:cs="Arial"/>
          <w:color w:val="000000"/>
          <w:sz w:val="22"/>
          <w:szCs w:val="22"/>
          <w:lang w:val="hr-HR"/>
        </w:rPr>
        <w:t xml:space="preserve">966/2012 </w:t>
      </w:r>
      <w:r w:rsidR="005D0232" w:rsidRPr="007349CF">
        <w:rPr>
          <w:rFonts w:ascii="Arial" w:eastAsiaTheme="minorHAnsi" w:hAnsi="Arial" w:cs="Arial"/>
          <w:color w:val="000000"/>
          <w:sz w:val="22"/>
          <w:szCs w:val="22"/>
          <w:lang w:val="hr-HR"/>
        </w:rPr>
        <w:t>članka 2(p) (</w:t>
      </w:r>
      <w:r w:rsidR="00CD007D" w:rsidRPr="007349CF">
        <w:rPr>
          <w:rFonts w:ascii="Arial" w:eastAsiaTheme="minorHAnsi" w:hAnsi="Arial" w:cs="Arial"/>
          <w:color w:val="000000"/>
          <w:sz w:val="22"/>
          <w:szCs w:val="22"/>
          <w:lang w:val="hr-HR"/>
        </w:rPr>
        <w:t>„</w:t>
      </w:r>
      <w:r w:rsidR="00CD007D" w:rsidRPr="007349CF">
        <w:rPr>
          <w:rFonts w:ascii="Arial" w:eastAsiaTheme="minorHAnsi" w:hAnsi="Arial" w:cs="Arial"/>
          <w:b/>
          <w:bCs/>
          <w:color w:val="000000"/>
          <w:sz w:val="22"/>
          <w:szCs w:val="22"/>
          <w:lang w:val="hr-HR"/>
        </w:rPr>
        <w:t>Financijska uredba</w:t>
      </w:r>
      <w:r w:rsidR="00CD007D" w:rsidRPr="007349CF">
        <w:rPr>
          <w:rFonts w:ascii="Arial" w:eastAsiaTheme="minorHAnsi" w:hAnsi="Arial" w:cs="Arial"/>
          <w:color w:val="000000"/>
          <w:sz w:val="22"/>
          <w:szCs w:val="22"/>
          <w:lang w:val="hr-HR"/>
        </w:rPr>
        <w:t>“</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te će se staviti na raspolaganje u sklopu operacije koja je dio Investicijskog prioriteta</w:t>
      </w:r>
      <w:r w:rsidR="00E538E2" w:rsidRPr="007349CF">
        <w:rPr>
          <w:rFonts w:ascii="Arial" w:eastAsiaTheme="minorHAnsi" w:hAnsi="Arial" w:cs="Arial"/>
          <w:color w:val="000000"/>
          <w:sz w:val="22"/>
          <w:szCs w:val="22"/>
          <w:lang w:val="hr-HR"/>
        </w:rPr>
        <w:t xml:space="preserve"> 3a</w:t>
      </w:r>
      <w:r w:rsidR="00D14722" w:rsidRPr="007349CF">
        <w:rPr>
          <w:rFonts w:ascii="Arial" w:eastAsiaTheme="minorHAnsi" w:hAnsi="Arial" w:cs="Arial"/>
          <w:color w:val="000000"/>
          <w:sz w:val="22"/>
          <w:szCs w:val="22"/>
          <w:lang w:val="hr-HR"/>
        </w:rPr>
        <w:t xml:space="preserve"> Promicanje poduzetništva, posebno olakšavajući ekonomsko iskorištavanje novih ideja i poticanje stvaranja novih poduzeća, uključujući putem poslovnih inkubatora</w:t>
      </w:r>
      <w:r w:rsidR="00E538E2" w:rsidRPr="007349CF">
        <w:rPr>
          <w:rFonts w:ascii="Arial" w:eastAsiaTheme="minorHAnsi" w:hAnsi="Arial" w:cs="Arial"/>
          <w:color w:val="000000"/>
          <w:sz w:val="22"/>
          <w:szCs w:val="22"/>
          <w:lang w:val="hr-HR"/>
        </w:rPr>
        <w:t>, Specifi</w:t>
      </w:r>
      <w:r w:rsidR="005D0232" w:rsidRPr="007349CF">
        <w:rPr>
          <w:rFonts w:ascii="Arial" w:eastAsiaTheme="minorHAnsi" w:hAnsi="Arial" w:cs="Arial"/>
          <w:color w:val="000000"/>
          <w:sz w:val="22"/>
          <w:szCs w:val="22"/>
          <w:lang w:val="hr-HR"/>
        </w:rPr>
        <w:t xml:space="preserve">čni cilj </w:t>
      </w:r>
      <w:r w:rsidR="00E538E2" w:rsidRPr="007349CF">
        <w:rPr>
          <w:rFonts w:ascii="Arial" w:eastAsiaTheme="minorHAnsi" w:hAnsi="Arial" w:cs="Arial"/>
          <w:color w:val="000000"/>
          <w:sz w:val="22"/>
          <w:szCs w:val="22"/>
          <w:lang w:val="hr-HR"/>
        </w:rPr>
        <w:t>3a1</w:t>
      </w:r>
      <w:r w:rsidR="00D14722" w:rsidRPr="007349CF">
        <w:rPr>
          <w:rFonts w:ascii="Arial" w:eastAsiaTheme="minorHAnsi" w:hAnsi="Arial" w:cs="Arial"/>
          <w:color w:val="000000"/>
          <w:sz w:val="22"/>
          <w:szCs w:val="22"/>
          <w:lang w:val="hr-HR"/>
        </w:rPr>
        <w:t xml:space="preserve"> Bolji pristup financiranju za male i srednje poduzetnike</w:t>
      </w:r>
      <w:r w:rsidR="00E538E2" w:rsidRPr="007349CF">
        <w:rPr>
          <w:rFonts w:ascii="Arial" w:eastAsiaTheme="minorHAnsi" w:hAnsi="Arial" w:cs="Arial"/>
          <w:color w:val="000000"/>
          <w:sz w:val="22"/>
          <w:szCs w:val="22"/>
          <w:lang w:val="hr-HR"/>
        </w:rPr>
        <w:t>, defin</w:t>
      </w:r>
      <w:r w:rsidR="005D0232" w:rsidRPr="007349CF">
        <w:rPr>
          <w:rFonts w:ascii="Arial" w:eastAsiaTheme="minorHAnsi" w:hAnsi="Arial" w:cs="Arial"/>
          <w:color w:val="000000"/>
          <w:sz w:val="22"/>
          <w:szCs w:val="22"/>
          <w:lang w:val="hr-HR"/>
        </w:rPr>
        <w:t xml:space="preserve">iran u OPKK </w:t>
      </w:r>
      <w:r w:rsidR="00D53337" w:rsidRPr="007349CF">
        <w:rPr>
          <w:rFonts w:ascii="Arial" w:eastAsiaTheme="minorHAnsi" w:hAnsi="Arial" w:cs="Arial"/>
          <w:color w:val="000000"/>
          <w:sz w:val="22"/>
          <w:szCs w:val="22"/>
          <w:lang w:val="hr-HR"/>
        </w:rPr>
        <w:t>2014</w:t>
      </w:r>
      <w:r w:rsidR="005D0232" w:rsidRPr="007349CF">
        <w:rPr>
          <w:rFonts w:ascii="Arial" w:eastAsiaTheme="minorHAnsi" w:hAnsi="Arial" w:cs="Arial"/>
          <w:color w:val="000000"/>
          <w:sz w:val="22"/>
          <w:szCs w:val="22"/>
          <w:lang w:val="hr-HR"/>
        </w:rPr>
        <w:t>.</w:t>
      </w:r>
      <w:r w:rsidR="00D53337" w:rsidRPr="007349CF">
        <w:rPr>
          <w:rFonts w:ascii="Arial" w:eastAsiaTheme="minorHAnsi" w:hAnsi="Arial" w:cs="Arial"/>
          <w:color w:val="000000"/>
          <w:sz w:val="22"/>
          <w:szCs w:val="22"/>
          <w:lang w:val="hr-HR"/>
        </w:rPr>
        <w:t>-2020</w:t>
      </w:r>
      <w:r w:rsidR="005D0232" w:rsidRPr="007349CF">
        <w:rPr>
          <w:rFonts w:ascii="Arial" w:eastAsiaTheme="minorHAnsi" w:hAnsi="Arial" w:cs="Arial"/>
          <w:color w:val="000000"/>
          <w:sz w:val="22"/>
          <w:szCs w:val="22"/>
          <w:lang w:val="hr-HR"/>
        </w:rPr>
        <w:t>.</w:t>
      </w:r>
      <w:r w:rsidR="00D53337"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 xml:space="preserve">kao i u kontekstu </w:t>
      </w:r>
      <w:r w:rsidR="00E538E2" w:rsidRPr="007349CF">
        <w:rPr>
          <w:rFonts w:ascii="Arial" w:eastAsiaTheme="minorHAnsi" w:hAnsi="Arial" w:cs="Arial"/>
          <w:color w:val="000000"/>
          <w:sz w:val="22"/>
          <w:szCs w:val="22"/>
          <w:lang w:val="hr-HR"/>
        </w:rPr>
        <w:t xml:space="preserve">ex-ante </w:t>
      </w:r>
      <w:r w:rsidR="005D0232" w:rsidRPr="007349CF">
        <w:rPr>
          <w:rFonts w:ascii="Arial" w:eastAsiaTheme="minorHAnsi" w:hAnsi="Arial" w:cs="Arial"/>
          <w:color w:val="000000"/>
          <w:sz w:val="22"/>
          <w:szCs w:val="22"/>
          <w:lang w:val="hr-HR"/>
        </w:rPr>
        <w:t xml:space="preserve">procjene koja se traži </w:t>
      </w:r>
      <w:r w:rsidR="00D14722" w:rsidRPr="007349CF">
        <w:rPr>
          <w:rFonts w:ascii="Arial" w:eastAsiaTheme="minorHAnsi" w:hAnsi="Arial" w:cs="Arial"/>
          <w:color w:val="000000"/>
          <w:sz w:val="22"/>
          <w:szCs w:val="22"/>
          <w:lang w:val="hr-HR"/>
        </w:rPr>
        <w:t>s</w:t>
      </w:r>
      <w:r w:rsidRPr="007349CF">
        <w:rPr>
          <w:rFonts w:ascii="Arial" w:eastAsiaTheme="minorHAnsi" w:hAnsi="Arial" w:cs="Arial"/>
          <w:color w:val="000000"/>
          <w:sz w:val="22"/>
          <w:szCs w:val="22"/>
          <w:lang w:val="hr-HR"/>
        </w:rPr>
        <w:t>u</w:t>
      </w:r>
      <w:r w:rsidR="00D14722" w:rsidRPr="007349CF">
        <w:rPr>
          <w:rFonts w:ascii="Arial" w:eastAsiaTheme="minorHAnsi" w:hAnsi="Arial" w:cs="Arial"/>
          <w:color w:val="000000"/>
          <w:sz w:val="22"/>
          <w:szCs w:val="22"/>
          <w:lang w:val="hr-HR"/>
        </w:rPr>
        <w:t>kladno</w:t>
      </w:r>
      <w:r w:rsidR="005D0232" w:rsidRPr="007349CF">
        <w:rPr>
          <w:rFonts w:ascii="Arial" w:eastAsiaTheme="minorHAnsi" w:hAnsi="Arial" w:cs="Arial"/>
          <w:color w:val="000000"/>
          <w:sz w:val="22"/>
          <w:szCs w:val="22"/>
          <w:lang w:val="hr-HR"/>
        </w:rPr>
        <w:t xml:space="preserve"> članku</w:t>
      </w:r>
      <w:r w:rsidR="00E538E2" w:rsidRPr="007349CF">
        <w:rPr>
          <w:rFonts w:ascii="Arial" w:eastAsiaTheme="minorHAnsi" w:hAnsi="Arial" w:cs="Arial"/>
          <w:color w:val="000000"/>
          <w:sz w:val="22"/>
          <w:szCs w:val="22"/>
          <w:lang w:val="hr-HR"/>
        </w:rPr>
        <w:t xml:space="preserve"> 37</w:t>
      </w:r>
      <w:r w:rsidR="005D0232" w:rsidRPr="007349CF">
        <w:rPr>
          <w:rFonts w:ascii="Arial" w:eastAsiaTheme="minorHAnsi" w:hAnsi="Arial" w:cs="Arial"/>
          <w:color w:val="000000"/>
          <w:sz w:val="22"/>
          <w:szCs w:val="22"/>
          <w:lang w:val="hr-HR"/>
        </w:rPr>
        <w:t>.</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Uredbe</w:t>
      </w:r>
      <w:r w:rsidR="00E538E2" w:rsidRPr="007349CF">
        <w:rPr>
          <w:rFonts w:ascii="Arial" w:eastAsiaTheme="minorHAnsi" w:hAnsi="Arial" w:cs="Arial"/>
          <w:color w:val="000000"/>
          <w:sz w:val="22"/>
          <w:szCs w:val="22"/>
          <w:lang w:val="hr-HR"/>
        </w:rPr>
        <w:t xml:space="preserve"> (EU) </w:t>
      </w:r>
      <w:r w:rsidR="005D0232" w:rsidRPr="007349CF">
        <w:rPr>
          <w:rFonts w:ascii="Arial" w:eastAsiaTheme="minorHAnsi" w:hAnsi="Arial" w:cs="Arial"/>
          <w:color w:val="000000"/>
          <w:sz w:val="22"/>
          <w:szCs w:val="22"/>
          <w:lang w:val="hr-HR"/>
        </w:rPr>
        <w:t>br.</w:t>
      </w:r>
      <w:r w:rsidR="00E538E2" w:rsidRPr="007349CF">
        <w:rPr>
          <w:rFonts w:ascii="Arial" w:eastAsiaTheme="minorHAnsi" w:hAnsi="Arial" w:cs="Arial"/>
          <w:color w:val="000000"/>
          <w:sz w:val="22"/>
          <w:szCs w:val="22"/>
          <w:lang w:val="hr-HR"/>
        </w:rPr>
        <w:t xml:space="preserve"> 1303/2013.</w:t>
      </w:r>
      <w:r w:rsidR="004135CC"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 xml:space="preserve">Financijska </w:t>
      </w:r>
      <w:r w:rsidRPr="007349CF">
        <w:rPr>
          <w:rFonts w:ascii="Arial" w:eastAsiaTheme="minorHAnsi" w:hAnsi="Arial" w:cs="Arial"/>
          <w:color w:val="000000"/>
          <w:sz w:val="22"/>
          <w:szCs w:val="22"/>
          <w:lang w:val="hr-HR"/>
        </w:rPr>
        <w:t>korist</w:t>
      </w:r>
      <w:r w:rsidR="004135CC"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ESIF Pojedinačnog jamstva</w:t>
      </w:r>
      <w:r w:rsidR="004135CC" w:rsidRPr="007349CF">
        <w:rPr>
          <w:rFonts w:ascii="Arial" w:eastAsiaTheme="minorHAnsi" w:hAnsi="Arial" w:cs="Arial"/>
          <w:color w:val="000000"/>
          <w:sz w:val="22"/>
          <w:szCs w:val="22"/>
          <w:lang w:val="hr-HR"/>
        </w:rPr>
        <w:t xml:space="preserve"> m</w:t>
      </w:r>
      <w:r w:rsidR="005D0232" w:rsidRPr="007349CF">
        <w:rPr>
          <w:rFonts w:ascii="Arial" w:eastAsiaTheme="minorHAnsi" w:hAnsi="Arial" w:cs="Arial"/>
          <w:color w:val="000000"/>
          <w:sz w:val="22"/>
          <w:szCs w:val="22"/>
          <w:lang w:val="hr-HR"/>
        </w:rPr>
        <w:t xml:space="preserve">ora se prenijeti na Krajnje </w:t>
      </w:r>
      <w:r w:rsidR="007E635C" w:rsidRPr="007349CF">
        <w:rPr>
          <w:rFonts w:ascii="Arial" w:eastAsiaTheme="minorHAnsi" w:hAnsi="Arial" w:cs="Arial"/>
          <w:color w:val="000000"/>
          <w:sz w:val="22"/>
          <w:szCs w:val="22"/>
          <w:lang w:val="hr-HR"/>
        </w:rPr>
        <w:t>primatelje</w:t>
      </w:r>
      <w:r w:rsidR="005D0232"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u obliku</w:t>
      </w:r>
      <w:r w:rsidR="005D0232" w:rsidRPr="007349CF">
        <w:rPr>
          <w:rFonts w:ascii="Arial" w:eastAsiaTheme="minorHAnsi" w:hAnsi="Arial" w:cs="Arial"/>
          <w:color w:val="000000"/>
          <w:sz w:val="22"/>
          <w:szCs w:val="22"/>
          <w:lang w:val="hr-HR"/>
        </w:rPr>
        <w:t xml:space="preserve"> poboljšanih uvjeta financiranja, </w:t>
      </w:r>
      <w:r w:rsidR="003B7279" w:rsidRPr="007349CF">
        <w:rPr>
          <w:rFonts w:ascii="Arial" w:eastAsiaTheme="minorHAnsi" w:hAnsi="Arial" w:cs="Arial"/>
          <w:color w:val="000000"/>
          <w:sz w:val="22"/>
          <w:szCs w:val="22"/>
          <w:lang w:val="hr-HR"/>
        </w:rPr>
        <w:t>poput</w:t>
      </w:r>
      <w:r w:rsidR="005D0232" w:rsidRPr="007349CF">
        <w:rPr>
          <w:rFonts w:ascii="Arial" w:eastAsiaTheme="minorHAnsi" w:hAnsi="Arial" w:cs="Arial"/>
          <w:color w:val="000000"/>
          <w:sz w:val="22"/>
          <w:szCs w:val="22"/>
          <w:lang w:val="hr-HR"/>
        </w:rPr>
        <w:t xml:space="preserve"> smanjene kamatne stope zajmova i/ili nižih zahtjeva za instrumentima osiguranja (kolateralom)</w:t>
      </w:r>
      <w:r w:rsidR="004135CC" w:rsidRPr="007349CF">
        <w:rPr>
          <w:rFonts w:ascii="Arial" w:eastAsiaTheme="minorHAnsi" w:hAnsi="Arial" w:cs="Arial"/>
          <w:color w:val="000000"/>
          <w:sz w:val="22"/>
          <w:szCs w:val="22"/>
          <w:lang w:val="hr-HR"/>
        </w:rPr>
        <w:t xml:space="preserve">. </w:t>
      </w:r>
    </w:p>
    <w:p w14:paraId="24CEADD1" w14:textId="77777777" w:rsidR="00E538E2" w:rsidRPr="007349CF" w:rsidRDefault="005D0232" w:rsidP="005D0232">
      <w:pPr>
        <w:tabs>
          <w:tab w:val="left" w:pos="3675"/>
        </w:tabs>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ab/>
      </w:r>
    </w:p>
    <w:p w14:paraId="27EEFF72" w14:textId="77777777" w:rsidR="004135CC" w:rsidRPr="007349CF" w:rsidRDefault="00181FE1" w:rsidP="00E538E2">
      <w:p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ESIF Pojedinačno</w:t>
      </w:r>
      <w:r w:rsidR="00CD007D" w:rsidRPr="007349CF">
        <w:rPr>
          <w:rFonts w:ascii="Arial" w:eastAsiaTheme="minorHAnsi" w:hAnsi="Arial" w:cs="Arial"/>
          <w:color w:val="000000"/>
          <w:sz w:val="22"/>
          <w:szCs w:val="22"/>
          <w:lang w:val="hr-HR"/>
        </w:rPr>
        <w:t xml:space="preserve"> jamstvo</w:t>
      </w:r>
      <w:r w:rsidR="00E538E2" w:rsidRPr="007349CF">
        <w:rPr>
          <w:rFonts w:ascii="Arial" w:eastAsiaTheme="minorHAnsi" w:hAnsi="Arial" w:cs="Arial"/>
          <w:color w:val="000000"/>
          <w:sz w:val="22"/>
          <w:szCs w:val="22"/>
          <w:lang w:val="hr-HR"/>
        </w:rPr>
        <w:t xml:space="preserve"> </w:t>
      </w:r>
      <w:r w:rsidR="005D0232" w:rsidRPr="007349CF">
        <w:rPr>
          <w:rFonts w:ascii="Arial" w:eastAsiaTheme="minorHAnsi" w:hAnsi="Arial" w:cs="Arial"/>
          <w:color w:val="000000"/>
          <w:sz w:val="22"/>
          <w:szCs w:val="22"/>
          <w:lang w:val="hr-HR"/>
        </w:rPr>
        <w:t>je u skladu s</w:t>
      </w:r>
      <w:r w:rsidRPr="007349CF">
        <w:rPr>
          <w:rFonts w:ascii="Arial" w:eastAsiaTheme="minorHAnsi" w:hAnsi="Arial" w:cs="Arial"/>
          <w:color w:val="000000"/>
          <w:sz w:val="22"/>
          <w:szCs w:val="22"/>
          <w:lang w:val="hr-HR"/>
        </w:rPr>
        <w:t>a</w:t>
      </w:r>
      <w:r w:rsidR="00E538E2" w:rsidRPr="007349CF">
        <w:rPr>
          <w:rFonts w:ascii="Arial" w:eastAsiaTheme="minorHAnsi" w:hAnsi="Arial" w:cs="Arial"/>
          <w:color w:val="000000"/>
          <w:sz w:val="22"/>
          <w:szCs w:val="22"/>
          <w:lang w:val="hr-HR"/>
        </w:rPr>
        <w:t xml:space="preserve"> </w:t>
      </w:r>
      <w:r w:rsidR="009447F6" w:rsidRPr="007349CF">
        <w:rPr>
          <w:rFonts w:ascii="Arial" w:eastAsiaTheme="minorHAnsi" w:hAnsi="Arial" w:cs="Arial"/>
          <w:color w:val="000000"/>
          <w:sz w:val="22"/>
          <w:szCs w:val="22"/>
          <w:lang w:val="hr-HR"/>
        </w:rPr>
        <w:t xml:space="preserve">svim primjenjivim </w:t>
      </w:r>
      <w:r w:rsidR="004135CC" w:rsidRPr="007349CF">
        <w:rPr>
          <w:rFonts w:ascii="Arial" w:eastAsiaTheme="minorHAnsi" w:hAnsi="Arial" w:cs="Arial"/>
          <w:color w:val="000000"/>
          <w:sz w:val="22"/>
          <w:szCs w:val="22"/>
          <w:lang w:val="hr-HR"/>
        </w:rPr>
        <w:t xml:space="preserve">EU </w:t>
      </w:r>
      <w:r w:rsidR="009447F6" w:rsidRPr="007349CF">
        <w:rPr>
          <w:rFonts w:ascii="Arial" w:eastAsiaTheme="minorHAnsi" w:hAnsi="Arial" w:cs="Arial"/>
          <w:color w:val="000000"/>
          <w:sz w:val="22"/>
          <w:szCs w:val="22"/>
          <w:lang w:val="hr-HR"/>
        </w:rPr>
        <w:t>i nacionalnim zakonima i propisima</w:t>
      </w:r>
      <w:r w:rsidR="004135CC" w:rsidRPr="007349CF">
        <w:rPr>
          <w:rFonts w:ascii="Arial" w:eastAsiaTheme="minorHAnsi" w:hAnsi="Arial" w:cs="Arial"/>
          <w:color w:val="000000"/>
          <w:sz w:val="22"/>
          <w:szCs w:val="22"/>
          <w:lang w:val="hr-HR"/>
        </w:rPr>
        <w:t>, p</w:t>
      </w:r>
      <w:r w:rsidR="009447F6" w:rsidRPr="007349CF">
        <w:rPr>
          <w:rFonts w:ascii="Arial" w:eastAsiaTheme="minorHAnsi" w:hAnsi="Arial" w:cs="Arial"/>
          <w:color w:val="000000"/>
          <w:sz w:val="22"/>
          <w:szCs w:val="22"/>
          <w:lang w:val="hr-HR"/>
        </w:rPr>
        <w:t>osebno sljedećima</w:t>
      </w:r>
      <w:r w:rsidR="004135CC" w:rsidRPr="007349CF">
        <w:rPr>
          <w:rFonts w:ascii="Arial" w:eastAsiaTheme="minorHAnsi" w:hAnsi="Arial" w:cs="Arial"/>
          <w:color w:val="000000"/>
          <w:sz w:val="22"/>
          <w:szCs w:val="22"/>
          <w:lang w:val="hr-HR"/>
        </w:rPr>
        <w:t>:</w:t>
      </w:r>
    </w:p>
    <w:p w14:paraId="16CA8E0F" w14:textId="77777777" w:rsidR="009447F6" w:rsidRPr="007349CF" w:rsidRDefault="009447F6" w:rsidP="00E538E2">
      <w:pPr>
        <w:autoSpaceDE w:val="0"/>
        <w:autoSpaceDN w:val="0"/>
        <w:adjustRightInd w:val="0"/>
        <w:spacing w:after="0"/>
        <w:rPr>
          <w:rFonts w:ascii="Arial" w:eastAsiaTheme="minorHAnsi" w:hAnsi="Arial" w:cs="Arial"/>
          <w:color w:val="000000"/>
          <w:sz w:val="22"/>
          <w:szCs w:val="22"/>
          <w:lang w:val="hr-HR"/>
        </w:rPr>
      </w:pPr>
    </w:p>
    <w:p w14:paraId="73B8A086" w14:textId="77777777" w:rsidR="00362929" w:rsidRPr="007349CF" w:rsidRDefault="009447F6" w:rsidP="003B7279">
      <w:pPr>
        <w:pStyle w:val="Odlomakpopisa"/>
        <w:numPr>
          <w:ilvl w:val="0"/>
          <w:numId w:val="11"/>
        </w:numPr>
        <w:autoSpaceDE w:val="0"/>
        <w:autoSpaceDN w:val="0"/>
        <w:adjustRightInd w:val="0"/>
        <w:spacing w:after="0"/>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Uredba</w:t>
      </w:r>
      <w:r w:rsidR="00362929" w:rsidRPr="007349CF">
        <w:rPr>
          <w:rFonts w:ascii="Arial" w:eastAsiaTheme="minorHAnsi" w:hAnsi="Arial" w:cs="Arial"/>
          <w:color w:val="000000"/>
          <w:sz w:val="22"/>
          <w:szCs w:val="22"/>
          <w:lang w:val="hr-HR"/>
        </w:rPr>
        <w:t xml:space="preserve"> (EU, </w:t>
      </w:r>
      <w:r w:rsidR="003B7279" w:rsidRPr="007349CF">
        <w:rPr>
          <w:rFonts w:ascii="Arial" w:eastAsiaTheme="minorHAnsi" w:hAnsi="Arial" w:cs="Arial"/>
          <w:color w:val="000000"/>
          <w:sz w:val="22"/>
          <w:szCs w:val="22"/>
          <w:lang w:val="hr-HR"/>
        </w:rPr>
        <w:t>Euratom</w:t>
      </w:r>
      <w:r w:rsidR="00362929"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 xml:space="preserve">br. </w:t>
      </w:r>
      <w:r w:rsidR="00362929" w:rsidRPr="007349CF">
        <w:rPr>
          <w:rFonts w:ascii="Arial" w:eastAsiaTheme="minorHAnsi" w:hAnsi="Arial" w:cs="Arial"/>
          <w:color w:val="000000"/>
          <w:sz w:val="22"/>
          <w:szCs w:val="22"/>
          <w:lang w:val="hr-HR"/>
        </w:rPr>
        <w:t xml:space="preserve">966/2012 (EU </w:t>
      </w:r>
      <w:r w:rsidR="00CD007D" w:rsidRPr="007349CF">
        <w:rPr>
          <w:rFonts w:ascii="Arial" w:eastAsiaTheme="minorHAnsi" w:hAnsi="Arial" w:cs="Arial"/>
          <w:color w:val="000000"/>
          <w:sz w:val="22"/>
          <w:szCs w:val="22"/>
          <w:lang w:val="hr-HR"/>
        </w:rPr>
        <w:t>Financijska uredba</w:t>
      </w:r>
      <w:r w:rsidR="00362929" w:rsidRPr="007349CF">
        <w:rPr>
          <w:rFonts w:ascii="Arial" w:eastAsiaTheme="minorHAnsi" w:hAnsi="Arial" w:cs="Arial"/>
          <w:color w:val="000000"/>
          <w:sz w:val="22"/>
          <w:szCs w:val="22"/>
          <w:lang w:val="hr-HR"/>
        </w:rPr>
        <w:t xml:space="preserve">) </w:t>
      </w:r>
      <w:r w:rsidRPr="007349CF">
        <w:rPr>
          <w:rFonts w:ascii="Arial" w:eastAsiaTheme="minorHAnsi" w:hAnsi="Arial" w:cs="Arial"/>
          <w:color w:val="000000"/>
          <w:sz w:val="22"/>
          <w:szCs w:val="22"/>
          <w:lang w:val="hr-HR"/>
        </w:rPr>
        <w:t>i njezine naknadne izmjene</w:t>
      </w:r>
    </w:p>
    <w:p w14:paraId="0CF33509" w14:textId="77777777" w:rsidR="004135CC" w:rsidRPr="007349CF" w:rsidRDefault="009447F6" w:rsidP="003B7279">
      <w:pPr>
        <w:pStyle w:val="Odlomakpopisa"/>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Uredba </w:t>
      </w:r>
      <w:r w:rsidR="004135CC" w:rsidRPr="007349CF">
        <w:rPr>
          <w:rFonts w:ascii="Arial" w:eastAsiaTheme="minorHAnsi" w:hAnsi="Arial" w:cs="Arial"/>
          <w:color w:val="000000"/>
          <w:sz w:val="22"/>
          <w:szCs w:val="22"/>
          <w:lang w:val="hr-HR"/>
        </w:rPr>
        <w:t xml:space="preserve">(EU) </w:t>
      </w:r>
      <w:r w:rsidRPr="007349CF">
        <w:rPr>
          <w:rFonts w:ascii="Arial" w:eastAsiaTheme="minorHAnsi" w:hAnsi="Arial" w:cs="Arial"/>
          <w:color w:val="000000"/>
          <w:sz w:val="22"/>
          <w:szCs w:val="22"/>
          <w:lang w:val="hr-HR"/>
        </w:rPr>
        <w:t xml:space="preserve">br. </w:t>
      </w:r>
      <w:r w:rsidR="004135CC" w:rsidRPr="007349CF">
        <w:rPr>
          <w:rFonts w:ascii="Arial" w:eastAsiaTheme="minorHAnsi" w:hAnsi="Arial" w:cs="Arial"/>
          <w:color w:val="000000"/>
          <w:sz w:val="22"/>
          <w:szCs w:val="22"/>
          <w:lang w:val="hr-HR"/>
        </w:rPr>
        <w:t xml:space="preserve">1301/2013 (ERDF) </w:t>
      </w:r>
    </w:p>
    <w:p w14:paraId="69465396" w14:textId="77777777" w:rsidR="004135CC" w:rsidRPr="007349CF" w:rsidRDefault="009447F6" w:rsidP="003B7279">
      <w:pPr>
        <w:pStyle w:val="Odlomakpopisa"/>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lastRenderedPageBreak/>
        <w:t xml:space="preserve">Uredba </w:t>
      </w:r>
      <w:r w:rsidR="004135CC" w:rsidRPr="007349CF">
        <w:rPr>
          <w:rFonts w:ascii="Arial" w:eastAsiaTheme="minorHAnsi" w:hAnsi="Arial" w:cs="Arial"/>
          <w:color w:val="000000"/>
          <w:sz w:val="22"/>
          <w:szCs w:val="22"/>
          <w:lang w:val="hr-HR"/>
        </w:rPr>
        <w:t xml:space="preserve">(EU) </w:t>
      </w:r>
      <w:r w:rsidRPr="007349CF">
        <w:rPr>
          <w:rFonts w:ascii="Arial" w:eastAsiaTheme="minorHAnsi" w:hAnsi="Arial" w:cs="Arial"/>
          <w:color w:val="000000"/>
          <w:sz w:val="22"/>
          <w:szCs w:val="22"/>
          <w:lang w:val="hr-HR"/>
        </w:rPr>
        <w:t xml:space="preserve">br. </w:t>
      </w:r>
      <w:r w:rsidR="004135CC" w:rsidRPr="007349CF">
        <w:rPr>
          <w:rFonts w:ascii="Arial" w:eastAsiaTheme="minorHAnsi" w:hAnsi="Arial" w:cs="Arial"/>
          <w:color w:val="000000"/>
          <w:sz w:val="22"/>
          <w:szCs w:val="22"/>
          <w:lang w:val="hr-HR"/>
        </w:rPr>
        <w:t xml:space="preserve">1303/2013 (CPR) </w:t>
      </w:r>
    </w:p>
    <w:p w14:paraId="4A019FF9" w14:textId="77777777" w:rsidR="004135CC" w:rsidRPr="007349CF" w:rsidRDefault="009447F6" w:rsidP="003B7279">
      <w:pPr>
        <w:pStyle w:val="Odlomakpopisa"/>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Uredba </w:t>
      </w:r>
      <w:r w:rsidR="004135CC" w:rsidRPr="007349CF">
        <w:rPr>
          <w:rFonts w:ascii="Arial" w:eastAsiaTheme="minorHAnsi" w:hAnsi="Arial" w:cs="Arial"/>
          <w:color w:val="000000"/>
          <w:sz w:val="22"/>
          <w:szCs w:val="22"/>
          <w:lang w:val="hr-HR"/>
        </w:rPr>
        <w:t xml:space="preserve">(EU) </w:t>
      </w:r>
      <w:r w:rsidRPr="007349CF">
        <w:rPr>
          <w:rFonts w:ascii="Arial" w:eastAsiaTheme="minorHAnsi" w:hAnsi="Arial" w:cs="Arial"/>
          <w:color w:val="000000"/>
          <w:sz w:val="22"/>
          <w:szCs w:val="22"/>
          <w:lang w:val="hr-HR"/>
        </w:rPr>
        <w:t xml:space="preserve">br. </w:t>
      </w:r>
      <w:r w:rsidR="004135CC" w:rsidRPr="007349CF">
        <w:rPr>
          <w:rFonts w:ascii="Arial" w:eastAsiaTheme="minorHAnsi" w:hAnsi="Arial" w:cs="Arial"/>
          <w:color w:val="000000"/>
          <w:sz w:val="22"/>
          <w:szCs w:val="22"/>
          <w:lang w:val="hr-HR"/>
        </w:rPr>
        <w:t>1407/2013 (</w:t>
      </w:r>
      <w:r w:rsidR="004135CC" w:rsidRPr="007349CF">
        <w:rPr>
          <w:rFonts w:ascii="Arial" w:eastAsiaTheme="minorHAnsi" w:hAnsi="Arial" w:cs="Arial"/>
          <w:i/>
          <w:iCs/>
          <w:color w:val="000000"/>
          <w:sz w:val="22"/>
          <w:szCs w:val="22"/>
          <w:lang w:val="hr-HR"/>
        </w:rPr>
        <w:t xml:space="preserve">de </w:t>
      </w:r>
      <w:proofErr w:type="spellStart"/>
      <w:r w:rsidR="004135CC" w:rsidRPr="007349CF">
        <w:rPr>
          <w:rFonts w:ascii="Arial" w:eastAsiaTheme="minorHAnsi" w:hAnsi="Arial" w:cs="Arial"/>
          <w:i/>
          <w:iCs/>
          <w:color w:val="000000"/>
          <w:sz w:val="22"/>
          <w:szCs w:val="22"/>
          <w:lang w:val="hr-HR"/>
        </w:rPr>
        <w:t>minimis</w:t>
      </w:r>
      <w:proofErr w:type="spellEnd"/>
      <w:r w:rsidR="004135CC" w:rsidRPr="007349CF">
        <w:rPr>
          <w:rFonts w:ascii="Arial" w:eastAsiaTheme="minorHAnsi" w:hAnsi="Arial" w:cs="Arial"/>
          <w:color w:val="000000"/>
          <w:sz w:val="22"/>
          <w:szCs w:val="22"/>
          <w:lang w:val="hr-HR"/>
        </w:rPr>
        <w:t xml:space="preserve">) </w:t>
      </w:r>
    </w:p>
    <w:p w14:paraId="70C36ABF" w14:textId="07C3BB44" w:rsidR="007D63E2" w:rsidRPr="007349CF" w:rsidRDefault="007D63E2" w:rsidP="003B7279">
      <w:pPr>
        <w:pStyle w:val="Odlomakpopisa"/>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 xml:space="preserve">Uredba (EU) </w:t>
      </w:r>
      <w:proofErr w:type="spellStart"/>
      <w:r w:rsidRPr="007349CF">
        <w:rPr>
          <w:rFonts w:ascii="Arial" w:eastAsiaTheme="minorHAnsi" w:hAnsi="Arial" w:cs="Arial"/>
          <w:color w:val="000000"/>
          <w:sz w:val="22"/>
          <w:szCs w:val="22"/>
          <w:lang w:val="hr-HR"/>
        </w:rPr>
        <w:t>br</w:t>
      </w:r>
      <w:proofErr w:type="spellEnd"/>
      <w:r w:rsidRPr="007349CF">
        <w:rPr>
          <w:rFonts w:ascii="Arial" w:eastAsiaTheme="minorHAnsi" w:hAnsi="Arial" w:cs="Arial"/>
          <w:color w:val="000000"/>
          <w:sz w:val="22"/>
          <w:szCs w:val="22"/>
          <w:lang w:val="hr-HR"/>
        </w:rPr>
        <w:t xml:space="preserve"> 651/2014 (GBER)</w:t>
      </w:r>
    </w:p>
    <w:p w14:paraId="3B62DE50" w14:textId="187B4BF1" w:rsidR="004135CC" w:rsidRPr="007349CF" w:rsidRDefault="004135CC" w:rsidP="003B7279">
      <w:pPr>
        <w:pStyle w:val="Odlomakpopisa"/>
        <w:numPr>
          <w:ilvl w:val="0"/>
          <w:numId w:val="11"/>
        </w:numPr>
        <w:autoSpaceDE w:val="0"/>
        <w:autoSpaceDN w:val="0"/>
        <w:adjustRightInd w:val="0"/>
        <w:spacing w:after="44"/>
        <w:jc w:val="left"/>
        <w:rPr>
          <w:rFonts w:ascii="Arial" w:eastAsiaTheme="minorHAnsi" w:hAnsi="Arial" w:cs="Arial"/>
          <w:color w:val="000000"/>
          <w:sz w:val="22"/>
          <w:szCs w:val="22"/>
          <w:lang w:val="hr-HR"/>
        </w:rPr>
      </w:pPr>
      <w:r w:rsidRPr="007349CF">
        <w:rPr>
          <w:rFonts w:ascii="Arial" w:eastAsiaTheme="minorHAnsi" w:hAnsi="Arial" w:cs="Arial"/>
          <w:color w:val="000000"/>
          <w:sz w:val="22"/>
          <w:szCs w:val="22"/>
          <w:lang w:val="hr-HR"/>
        </w:rPr>
        <w:t>Deleg</w:t>
      </w:r>
      <w:r w:rsidR="009447F6" w:rsidRPr="007349CF">
        <w:rPr>
          <w:rFonts w:ascii="Arial" w:eastAsiaTheme="minorHAnsi" w:hAnsi="Arial" w:cs="Arial"/>
          <w:color w:val="000000"/>
          <w:sz w:val="22"/>
          <w:szCs w:val="22"/>
          <w:lang w:val="hr-HR"/>
        </w:rPr>
        <w:t>irana</w:t>
      </w:r>
      <w:r w:rsidRPr="007349CF">
        <w:rPr>
          <w:rFonts w:ascii="Arial" w:eastAsiaTheme="minorHAnsi" w:hAnsi="Arial" w:cs="Arial"/>
          <w:color w:val="000000"/>
          <w:sz w:val="22"/>
          <w:szCs w:val="22"/>
          <w:lang w:val="hr-HR"/>
        </w:rPr>
        <w:t xml:space="preserve"> </w:t>
      </w:r>
      <w:r w:rsidR="009447F6" w:rsidRPr="007349CF">
        <w:rPr>
          <w:rFonts w:ascii="Arial" w:eastAsiaTheme="minorHAnsi" w:hAnsi="Arial" w:cs="Arial"/>
          <w:color w:val="000000"/>
          <w:sz w:val="22"/>
          <w:szCs w:val="22"/>
          <w:lang w:val="hr-HR"/>
        </w:rPr>
        <w:t xml:space="preserve">Uredba Komisije </w:t>
      </w:r>
      <w:r w:rsidRPr="007349CF">
        <w:rPr>
          <w:rFonts w:ascii="Arial" w:eastAsiaTheme="minorHAnsi" w:hAnsi="Arial" w:cs="Arial"/>
          <w:color w:val="000000"/>
          <w:sz w:val="22"/>
          <w:szCs w:val="22"/>
          <w:lang w:val="hr-HR"/>
        </w:rPr>
        <w:t xml:space="preserve">(EU) </w:t>
      </w:r>
      <w:r w:rsidR="009447F6" w:rsidRPr="007349CF">
        <w:rPr>
          <w:rFonts w:ascii="Arial" w:eastAsiaTheme="minorHAnsi" w:hAnsi="Arial" w:cs="Arial"/>
          <w:color w:val="000000"/>
          <w:sz w:val="22"/>
          <w:szCs w:val="22"/>
          <w:lang w:val="hr-HR"/>
        </w:rPr>
        <w:t>br.</w:t>
      </w:r>
      <w:r w:rsidRPr="007349CF">
        <w:rPr>
          <w:rFonts w:ascii="Arial" w:eastAsiaTheme="minorHAnsi" w:hAnsi="Arial" w:cs="Arial"/>
          <w:color w:val="000000"/>
          <w:sz w:val="22"/>
          <w:szCs w:val="22"/>
          <w:lang w:val="hr-HR"/>
        </w:rPr>
        <w:t xml:space="preserve"> 480/2014. </w:t>
      </w:r>
    </w:p>
    <w:p w14:paraId="5AF76825" w14:textId="77777777" w:rsidR="004135CC" w:rsidRPr="007349CF" w:rsidRDefault="004135CC" w:rsidP="00E538E2">
      <w:pPr>
        <w:pStyle w:val="Default"/>
        <w:jc w:val="both"/>
        <w:rPr>
          <w:rFonts w:ascii="Arial" w:hAnsi="Arial" w:cs="Arial"/>
          <w:sz w:val="22"/>
          <w:szCs w:val="22"/>
          <w:lang w:val="hr-HR"/>
        </w:rPr>
      </w:pPr>
    </w:p>
    <w:p w14:paraId="60633F69" w14:textId="61CF6426" w:rsidR="00827EEF" w:rsidRPr="007349CF" w:rsidRDefault="004C37EB" w:rsidP="00B732F7">
      <w:pPr>
        <w:pStyle w:val="Default"/>
        <w:jc w:val="both"/>
        <w:rPr>
          <w:rFonts w:ascii="Arial" w:hAnsi="Arial" w:cs="Arial"/>
          <w:sz w:val="22"/>
          <w:szCs w:val="22"/>
          <w:lang w:val="hr-HR"/>
        </w:rPr>
      </w:pPr>
      <w:r w:rsidRPr="00B92C6A">
        <w:rPr>
          <w:rFonts w:ascii="Arial" w:hAnsi="Arial" w:cs="Arial"/>
          <w:sz w:val="22"/>
          <w:szCs w:val="22"/>
          <w:lang w:val="hr-HR"/>
        </w:rPr>
        <w:t xml:space="preserve">Ukupna financijska alokacija </w:t>
      </w:r>
      <w:r w:rsidR="00C61E5B" w:rsidRPr="00B92C6A">
        <w:rPr>
          <w:rFonts w:ascii="Arial" w:hAnsi="Arial" w:cs="Arial"/>
          <w:sz w:val="22"/>
          <w:szCs w:val="22"/>
          <w:lang w:val="hr-HR"/>
        </w:rPr>
        <w:t>za</w:t>
      </w:r>
      <w:r w:rsidR="00E538E2" w:rsidRPr="00B92C6A">
        <w:rPr>
          <w:rFonts w:ascii="Arial" w:hAnsi="Arial" w:cs="Arial"/>
          <w:sz w:val="22"/>
          <w:szCs w:val="22"/>
          <w:lang w:val="hr-HR"/>
        </w:rPr>
        <w:t xml:space="preserve"> </w:t>
      </w:r>
      <w:r w:rsidRPr="00B92C6A">
        <w:rPr>
          <w:rFonts w:ascii="Arial" w:hAnsi="Arial" w:cs="Arial"/>
          <w:sz w:val="22"/>
          <w:szCs w:val="22"/>
          <w:lang w:val="hr-HR"/>
        </w:rPr>
        <w:t>ESIF pojedinačna jamstva</w:t>
      </w:r>
      <w:r w:rsidR="00E538E2" w:rsidRPr="00B92C6A">
        <w:rPr>
          <w:rFonts w:ascii="Arial" w:hAnsi="Arial" w:cs="Arial"/>
          <w:sz w:val="22"/>
          <w:szCs w:val="22"/>
          <w:lang w:val="hr-HR"/>
        </w:rPr>
        <w:t xml:space="preserve"> </w:t>
      </w:r>
      <w:r w:rsidRPr="00B92C6A">
        <w:rPr>
          <w:rFonts w:ascii="Arial" w:hAnsi="Arial" w:cs="Arial"/>
          <w:sz w:val="22"/>
          <w:szCs w:val="22"/>
          <w:lang w:val="hr-HR"/>
        </w:rPr>
        <w:t>iznosi 5</w:t>
      </w:r>
      <w:r w:rsidR="00E91206" w:rsidRPr="00B92C6A">
        <w:rPr>
          <w:rFonts w:ascii="Arial" w:hAnsi="Arial" w:cs="Arial"/>
          <w:sz w:val="22"/>
          <w:szCs w:val="22"/>
          <w:lang w:val="hr-HR"/>
        </w:rPr>
        <w:t>4</w:t>
      </w:r>
      <w:r w:rsidRPr="00B92C6A">
        <w:rPr>
          <w:rFonts w:ascii="Arial" w:hAnsi="Arial" w:cs="Arial"/>
          <w:sz w:val="22"/>
          <w:szCs w:val="22"/>
          <w:lang w:val="hr-HR"/>
        </w:rPr>
        <w:t xml:space="preserve"> </w:t>
      </w:r>
      <w:proofErr w:type="spellStart"/>
      <w:r w:rsidRPr="00B92C6A">
        <w:rPr>
          <w:rFonts w:ascii="Arial" w:hAnsi="Arial" w:cs="Arial"/>
          <w:sz w:val="22"/>
          <w:szCs w:val="22"/>
          <w:lang w:val="hr-HR"/>
        </w:rPr>
        <w:t>mil</w:t>
      </w:r>
      <w:proofErr w:type="spellEnd"/>
      <w:r w:rsidRPr="00B92C6A">
        <w:rPr>
          <w:rFonts w:ascii="Arial" w:hAnsi="Arial" w:cs="Arial"/>
          <w:sz w:val="22"/>
          <w:szCs w:val="22"/>
          <w:lang w:val="hr-HR"/>
        </w:rPr>
        <w:t xml:space="preserve"> EUR što uz minimalni faktor multiplikacije koji iznosi 5 generira ukupno 2</w:t>
      </w:r>
      <w:r w:rsidR="00D554C0" w:rsidRPr="00B92C6A">
        <w:rPr>
          <w:rFonts w:ascii="Arial" w:hAnsi="Arial" w:cs="Arial"/>
          <w:sz w:val="22"/>
          <w:szCs w:val="22"/>
          <w:lang w:val="hr-HR"/>
        </w:rPr>
        <w:t>70</w:t>
      </w:r>
      <w:r w:rsidRPr="00B92C6A">
        <w:rPr>
          <w:rFonts w:ascii="Arial" w:hAnsi="Arial" w:cs="Arial"/>
          <w:sz w:val="22"/>
          <w:szCs w:val="22"/>
          <w:lang w:val="hr-HR"/>
        </w:rPr>
        <w:t xml:space="preserve"> </w:t>
      </w:r>
      <w:proofErr w:type="spellStart"/>
      <w:r w:rsidRPr="00B92C6A">
        <w:rPr>
          <w:rFonts w:ascii="Arial" w:hAnsi="Arial" w:cs="Arial"/>
          <w:sz w:val="22"/>
          <w:szCs w:val="22"/>
          <w:lang w:val="hr-HR"/>
        </w:rPr>
        <w:t>mil</w:t>
      </w:r>
      <w:proofErr w:type="spellEnd"/>
      <w:r w:rsidRPr="00B92C6A">
        <w:rPr>
          <w:rFonts w:ascii="Arial" w:hAnsi="Arial" w:cs="Arial"/>
          <w:sz w:val="22"/>
          <w:szCs w:val="22"/>
          <w:lang w:val="hr-HR"/>
        </w:rPr>
        <w:t xml:space="preserve"> EUR jamstava za poduzetničke kredite</w:t>
      </w:r>
      <w:r w:rsidR="00E538E2" w:rsidRPr="00B92C6A">
        <w:rPr>
          <w:rFonts w:ascii="Arial" w:hAnsi="Arial" w:cs="Arial"/>
          <w:sz w:val="22"/>
          <w:szCs w:val="22"/>
          <w:lang w:val="hr-HR"/>
        </w:rPr>
        <w:t>.</w:t>
      </w:r>
      <w:r w:rsidR="004C7668" w:rsidRPr="00B92C6A">
        <w:rPr>
          <w:rFonts w:ascii="Arial" w:hAnsi="Arial" w:cs="Arial"/>
          <w:sz w:val="22"/>
          <w:szCs w:val="22"/>
          <w:lang w:val="hr-HR"/>
        </w:rPr>
        <w:t xml:space="preserve"> Financijska alokacija za subvencije kamatne stope iznosi 1</w:t>
      </w:r>
      <w:r w:rsidR="00D554C0" w:rsidRPr="00B92C6A">
        <w:rPr>
          <w:rFonts w:ascii="Arial" w:hAnsi="Arial" w:cs="Arial"/>
          <w:sz w:val="22"/>
          <w:szCs w:val="22"/>
          <w:lang w:val="hr-HR"/>
        </w:rPr>
        <w:t>3</w:t>
      </w:r>
      <w:r w:rsidR="004C7668" w:rsidRPr="00B92C6A">
        <w:rPr>
          <w:rFonts w:ascii="Arial" w:hAnsi="Arial" w:cs="Arial"/>
          <w:sz w:val="22"/>
          <w:szCs w:val="22"/>
          <w:lang w:val="hr-HR"/>
        </w:rPr>
        <w:t xml:space="preserve"> </w:t>
      </w:r>
      <w:proofErr w:type="spellStart"/>
      <w:r w:rsidR="004C7668" w:rsidRPr="00B92C6A">
        <w:rPr>
          <w:rFonts w:ascii="Arial" w:hAnsi="Arial" w:cs="Arial"/>
          <w:sz w:val="22"/>
          <w:szCs w:val="22"/>
          <w:lang w:val="hr-HR"/>
        </w:rPr>
        <w:t>mil</w:t>
      </w:r>
      <w:proofErr w:type="spellEnd"/>
      <w:r w:rsidR="004C7668" w:rsidRPr="00B92C6A">
        <w:rPr>
          <w:rFonts w:ascii="Arial" w:hAnsi="Arial" w:cs="Arial"/>
          <w:sz w:val="22"/>
          <w:szCs w:val="22"/>
          <w:lang w:val="hr-HR"/>
        </w:rPr>
        <w:t xml:space="preserve"> EUR</w:t>
      </w:r>
      <w:r w:rsidR="00D554C0" w:rsidRPr="00B92C6A">
        <w:rPr>
          <w:rFonts w:ascii="Arial" w:hAnsi="Arial" w:cs="Arial"/>
          <w:sz w:val="22"/>
          <w:szCs w:val="22"/>
          <w:lang w:val="hr-HR"/>
        </w:rPr>
        <w:t xml:space="preserve"> (</w:t>
      </w:r>
      <w:r w:rsidR="006C6F77" w:rsidRPr="00B92C6A">
        <w:rPr>
          <w:rFonts w:ascii="Arial" w:hAnsi="Arial" w:cs="Arial"/>
          <w:sz w:val="22"/>
          <w:szCs w:val="22"/>
          <w:lang w:val="hr-HR"/>
        </w:rPr>
        <w:t>na dan ovog poziva</w:t>
      </w:r>
      <w:r w:rsidR="00D554C0" w:rsidRPr="00B92C6A">
        <w:rPr>
          <w:rFonts w:ascii="Arial" w:hAnsi="Arial" w:cs="Arial"/>
          <w:sz w:val="22"/>
          <w:szCs w:val="22"/>
          <w:lang w:val="hr-HR"/>
        </w:rPr>
        <w:t xml:space="preserve"> iskorištenost alokacije iznosi 85%)</w:t>
      </w:r>
      <w:r w:rsidR="004C7668" w:rsidRPr="00B92C6A">
        <w:rPr>
          <w:rFonts w:ascii="Arial" w:hAnsi="Arial" w:cs="Arial"/>
          <w:sz w:val="22"/>
          <w:szCs w:val="22"/>
          <w:lang w:val="hr-HR"/>
        </w:rPr>
        <w:t>.</w:t>
      </w:r>
      <w:r w:rsidR="00E538E2" w:rsidRPr="00B92C6A">
        <w:rPr>
          <w:rFonts w:ascii="Arial" w:hAnsi="Arial" w:cs="Arial"/>
          <w:sz w:val="22"/>
          <w:szCs w:val="22"/>
          <w:lang w:val="hr-HR"/>
        </w:rPr>
        <w:t xml:space="preserve"> </w:t>
      </w:r>
      <w:r w:rsidR="003B7279" w:rsidRPr="00B92C6A">
        <w:rPr>
          <w:rFonts w:ascii="Arial" w:hAnsi="Arial" w:cs="Arial"/>
          <w:sz w:val="22"/>
          <w:szCs w:val="22"/>
          <w:lang w:val="hr-HR"/>
        </w:rPr>
        <w:t>Taj će</w:t>
      </w:r>
      <w:r w:rsidR="00C61E5B" w:rsidRPr="00B92C6A">
        <w:rPr>
          <w:rFonts w:ascii="Arial" w:hAnsi="Arial" w:cs="Arial"/>
          <w:sz w:val="22"/>
          <w:szCs w:val="22"/>
          <w:lang w:val="hr-HR"/>
        </w:rPr>
        <w:t xml:space="preserve"> iznos</w:t>
      </w:r>
      <w:r w:rsidRPr="00B92C6A">
        <w:rPr>
          <w:rFonts w:ascii="Arial" w:hAnsi="Arial" w:cs="Arial"/>
          <w:sz w:val="22"/>
          <w:szCs w:val="22"/>
          <w:lang w:val="hr-HR"/>
        </w:rPr>
        <w:t xml:space="preserve"> biti na raspolaganja </w:t>
      </w:r>
      <w:r w:rsidR="006C6F77" w:rsidRPr="00B92C6A">
        <w:rPr>
          <w:rFonts w:ascii="Arial" w:hAnsi="Arial" w:cs="Arial"/>
          <w:sz w:val="22"/>
          <w:szCs w:val="22"/>
          <w:lang w:val="hr-HR"/>
        </w:rPr>
        <w:t xml:space="preserve">i </w:t>
      </w:r>
      <w:r w:rsidRPr="00B92C6A">
        <w:rPr>
          <w:rFonts w:ascii="Arial" w:hAnsi="Arial" w:cs="Arial"/>
          <w:sz w:val="22"/>
          <w:szCs w:val="22"/>
          <w:lang w:val="hr-HR"/>
        </w:rPr>
        <w:t>Financijskim</w:t>
      </w:r>
      <w:r w:rsidR="00C61E5B" w:rsidRPr="00B92C6A">
        <w:rPr>
          <w:rFonts w:ascii="Arial" w:hAnsi="Arial" w:cs="Arial"/>
          <w:sz w:val="22"/>
          <w:szCs w:val="22"/>
          <w:lang w:val="hr-HR"/>
        </w:rPr>
        <w:t xml:space="preserve"> institucija</w:t>
      </w:r>
      <w:r w:rsidRPr="00B92C6A">
        <w:rPr>
          <w:rFonts w:ascii="Arial" w:hAnsi="Arial" w:cs="Arial"/>
          <w:sz w:val="22"/>
          <w:szCs w:val="22"/>
          <w:lang w:val="hr-HR"/>
        </w:rPr>
        <w:t>ma</w:t>
      </w:r>
      <w:r w:rsidR="00C61E5B" w:rsidRPr="00B92C6A">
        <w:rPr>
          <w:rFonts w:ascii="Arial" w:hAnsi="Arial" w:cs="Arial"/>
          <w:sz w:val="22"/>
          <w:szCs w:val="22"/>
          <w:lang w:val="hr-HR"/>
        </w:rPr>
        <w:t xml:space="preserve"> </w:t>
      </w:r>
      <w:r w:rsidRPr="00B92C6A">
        <w:rPr>
          <w:rFonts w:ascii="Arial" w:hAnsi="Arial" w:cs="Arial"/>
          <w:sz w:val="22"/>
          <w:szCs w:val="22"/>
          <w:lang w:val="hr-HR"/>
        </w:rPr>
        <w:t xml:space="preserve">koje budu odabrane </w:t>
      </w:r>
      <w:r w:rsidR="00C61E5B" w:rsidRPr="00B92C6A">
        <w:rPr>
          <w:rFonts w:ascii="Arial" w:hAnsi="Arial" w:cs="Arial"/>
          <w:sz w:val="22"/>
          <w:szCs w:val="22"/>
          <w:lang w:val="hr-HR"/>
        </w:rPr>
        <w:t>na</w:t>
      </w:r>
      <w:r w:rsidRPr="00B92C6A">
        <w:rPr>
          <w:rFonts w:ascii="Arial" w:hAnsi="Arial" w:cs="Arial"/>
          <w:sz w:val="22"/>
          <w:szCs w:val="22"/>
          <w:lang w:val="hr-HR"/>
        </w:rPr>
        <w:t xml:space="preserve"> ovom</w:t>
      </w:r>
      <w:r w:rsidR="00C61E5B" w:rsidRPr="00B92C6A">
        <w:rPr>
          <w:rFonts w:ascii="Arial" w:hAnsi="Arial" w:cs="Arial"/>
          <w:sz w:val="22"/>
          <w:szCs w:val="22"/>
          <w:lang w:val="hr-HR"/>
        </w:rPr>
        <w:t xml:space="preserve"> </w:t>
      </w:r>
      <w:r w:rsidR="00B65F81" w:rsidRPr="00B92C6A">
        <w:rPr>
          <w:rFonts w:ascii="Arial" w:hAnsi="Arial" w:cs="Arial"/>
          <w:sz w:val="22"/>
          <w:szCs w:val="22"/>
          <w:lang w:val="hr-HR"/>
        </w:rPr>
        <w:t>Poziv</w:t>
      </w:r>
      <w:r w:rsidR="003B7279" w:rsidRPr="00B92C6A">
        <w:rPr>
          <w:rFonts w:ascii="Arial" w:hAnsi="Arial" w:cs="Arial"/>
          <w:sz w:val="22"/>
          <w:szCs w:val="22"/>
          <w:lang w:val="hr-HR"/>
        </w:rPr>
        <w:t>u</w:t>
      </w:r>
      <w:r w:rsidRPr="00B92C6A">
        <w:rPr>
          <w:rFonts w:ascii="Arial" w:hAnsi="Arial" w:cs="Arial"/>
          <w:sz w:val="22"/>
          <w:szCs w:val="22"/>
          <w:lang w:val="hr-HR"/>
        </w:rPr>
        <w:t>.</w:t>
      </w:r>
      <w:r w:rsidR="00B732F7" w:rsidRPr="00B92C6A">
        <w:rPr>
          <w:rFonts w:ascii="Arial" w:hAnsi="Arial" w:cs="Arial"/>
          <w:sz w:val="22"/>
          <w:szCs w:val="22"/>
          <w:lang w:val="hr-HR"/>
        </w:rPr>
        <w:t xml:space="preserve"> Ukupno će se odabrati </w:t>
      </w:r>
      <w:r w:rsidR="00570EA2" w:rsidRPr="00B92C6A">
        <w:rPr>
          <w:rFonts w:ascii="Arial" w:hAnsi="Arial" w:cs="Arial"/>
          <w:b/>
          <w:sz w:val="22"/>
          <w:szCs w:val="22"/>
          <w:lang w:val="hr-HR"/>
        </w:rPr>
        <w:t>2</w:t>
      </w:r>
      <w:r w:rsidR="003F03AF" w:rsidRPr="00B92C6A">
        <w:rPr>
          <w:rFonts w:ascii="Arial" w:hAnsi="Arial" w:cs="Arial"/>
          <w:b/>
          <w:sz w:val="22"/>
          <w:szCs w:val="22"/>
          <w:lang w:val="hr-HR"/>
        </w:rPr>
        <w:t xml:space="preserve"> </w:t>
      </w:r>
      <w:r w:rsidR="004C7668" w:rsidRPr="00B92C6A">
        <w:rPr>
          <w:rFonts w:ascii="Arial" w:hAnsi="Arial" w:cs="Arial"/>
          <w:b/>
          <w:sz w:val="22"/>
          <w:szCs w:val="22"/>
          <w:lang w:val="hr-HR"/>
        </w:rPr>
        <w:t>Financijsk</w:t>
      </w:r>
      <w:r w:rsidR="00570EA2" w:rsidRPr="00B92C6A">
        <w:rPr>
          <w:rFonts w:ascii="Arial" w:hAnsi="Arial" w:cs="Arial"/>
          <w:b/>
          <w:sz w:val="22"/>
          <w:szCs w:val="22"/>
          <w:lang w:val="hr-HR"/>
        </w:rPr>
        <w:t>e</w:t>
      </w:r>
      <w:r w:rsidR="004C7668" w:rsidRPr="00B92C6A">
        <w:rPr>
          <w:rFonts w:ascii="Arial" w:hAnsi="Arial" w:cs="Arial"/>
          <w:b/>
          <w:sz w:val="22"/>
          <w:szCs w:val="22"/>
          <w:lang w:val="hr-HR"/>
        </w:rPr>
        <w:t xml:space="preserve"> institucij</w:t>
      </w:r>
      <w:r w:rsidR="00570EA2" w:rsidRPr="00B92C6A">
        <w:rPr>
          <w:rFonts w:ascii="Arial" w:hAnsi="Arial" w:cs="Arial"/>
          <w:b/>
          <w:sz w:val="22"/>
          <w:szCs w:val="22"/>
          <w:lang w:val="hr-HR"/>
        </w:rPr>
        <w:t>e</w:t>
      </w:r>
      <w:r w:rsidR="00B732F7" w:rsidRPr="00B92C6A">
        <w:rPr>
          <w:rFonts w:ascii="Arial" w:hAnsi="Arial" w:cs="Arial"/>
          <w:sz w:val="22"/>
          <w:szCs w:val="22"/>
          <w:lang w:val="hr-HR"/>
        </w:rPr>
        <w:t xml:space="preserve"> za sudjelovanje u provedbi ovog Programa sukladno rang listi prema ostvarenim bodovima u</w:t>
      </w:r>
      <w:bookmarkStart w:id="0" w:name="_GoBack"/>
      <w:bookmarkEnd w:id="0"/>
      <w:r w:rsidR="00B732F7" w:rsidRPr="007349CF">
        <w:rPr>
          <w:rFonts w:ascii="Arial" w:hAnsi="Arial" w:cs="Arial"/>
          <w:sz w:val="22"/>
          <w:szCs w:val="22"/>
          <w:lang w:val="hr-HR"/>
        </w:rPr>
        <w:t xml:space="preserve"> ovom Pozivu. </w:t>
      </w:r>
      <w:r w:rsidR="00C61E5B" w:rsidRPr="007349CF">
        <w:rPr>
          <w:rFonts w:ascii="Arial" w:hAnsi="Arial" w:cs="Arial"/>
          <w:sz w:val="22"/>
          <w:szCs w:val="22"/>
          <w:lang w:val="hr-HR"/>
        </w:rPr>
        <w:t>Sve prijave za</w:t>
      </w:r>
      <w:r w:rsidR="00CA76B4" w:rsidRPr="007349CF">
        <w:rPr>
          <w:rFonts w:ascii="Arial" w:hAnsi="Arial" w:cs="Arial"/>
          <w:sz w:val="22"/>
          <w:szCs w:val="22"/>
          <w:lang w:val="hr-HR"/>
        </w:rPr>
        <w:t xml:space="preserve"> </w:t>
      </w:r>
      <w:r w:rsidR="00DE40D4" w:rsidRPr="007349CF">
        <w:rPr>
          <w:rFonts w:ascii="Arial" w:hAnsi="Arial" w:cs="Arial"/>
          <w:sz w:val="22"/>
          <w:szCs w:val="22"/>
          <w:lang w:val="hr-HR"/>
        </w:rPr>
        <w:t>Program</w:t>
      </w:r>
      <w:r w:rsidR="00C61E5B" w:rsidRPr="007349CF">
        <w:rPr>
          <w:rFonts w:ascii="Arial" w:hAnsi="Arial" w:cs="Arial"/>
          <w:sz w:val="22"/>
          <w:szCs w:val="22"/>
          <w:lang w:val="hr-HR"/>
        </w:rPr>
        <w:t>,</w:t>
      </w:r>
      <w:r w:rsidR="002410D6" w:rsidRPr="007349CF">
        <w:rPr>
          <w:rFonts w:ascii="Arial" w:hAnsi="Arial" w:cs="Arial"/>
          <w:sz w:val="22"/>
          <w:szCs w:val="22"/>
          <w:lang w:val="hr-HR"/>
        </w:rPr>
        <w:t xml:space="preserve"> </w:t>
      </w:r>
      <w:r w:rsidR="00C61E5B" w:rsidRPr="007349CF">
        <w:rPr>
          <w:rFonts w:ascii="Arial" w:hAnsi="Arial" w:cs="Arial"/>
          <w:sz w:val="22"/>
          <w:szCs w:val="22"/>
          <w:lang w:val="hr-HR"/>
        </w:rPr>
        <w:t xml:space="preserve">koje se pošalju u </w:t>
      </w:r>
      <w:r w:rsidR="002410D6" w:rsidRPr="007349CF">
        <w:rPr>
          <w:rFonts w:ascii="Arial" w:hAnsi="Arial" w:cs="Arial"/>
          <w:sz w:val="22"/>
          <w:szCs w:val="22"/>
          <w:lang w:val="hr-HR"/>
        </w:rPr>
        <w:t xml:space="preserve">HAMAG-BICRO, </w:t>
      </w:r>
      <w:r w:rsidR="00C61E5B" w:rsidRPr="007349CF">
        <w:rPr>
          <w:rFonts w:ascii="Arial" w:hAnsi="Arial" w:cs="Arial"/>
          <w:sz w:val="22"/>
          <w:szCs w:val="22"/>
          <w:lang w:val="hr-HR"/>
        </w:rPr>
        <w:t xml:space="preserve">moraju se pripremiti sukladno Obrascu za iskaz interesa koji se nalazi u </w:t>
      </w:r>
      <w:r w:rsidR="009447F6" w:rsidRPr="007349CF">
        <w:rPr>
          <w:rFonts w:ascii="Arial" w:hAnsi="Arial" w:cs="Arial"/>
          <w:sz w:val="22"/>
          <w:szCs w:val="22"/>
          <w:lang w:val="hr-HR"/>
        </w:rPr>
        <w:t>Prilog</w:t>
      </w:r>
      <w:r w:rsidR="00C61E5B" w:rsidRPr="007349CF">
        <w:rPr>
          <w:rFonts w:ascii="Arial" w:hAnsi="Arial" w:cs="Arial"/>
          <w:sz w:val="22"/>
          <w:szCs w:val="22"/>
          <w:lang w:val="hr-HR"/>
        </w:rPr>
        <w:t>u</w:t>
      </w:r>
      <w:r w:rsidR="009447F6" w:rsidRPr="007349CF">
        <w:rPr>
          <w:rFonts w:ascii="Arial" w:hAnsi="Arial" w:cs="Arial"/>
          <w:sz w:val="22"/>
          <w:szCs w:val="22"/>
          <w:lang w:val="hr-HR"/>
        </w:rPr>
        <w:t xml:space="preserve"> </w:t>
      </w:r>
      <w:r w:rsidR="00827EEF" w:rsidRPr="007349CF">
        <w:rPr>
          <w:rFonts w:ascii="Arial" w:hAnsi="Arial" w:cs="Arial"/>
          <w:sz w:val="22"/>
          <w:szCs w:val="22"/>
          <w:lang w:val="hr-HR"/>
        </w:rPr>
        <w:t>II</w:t>
      </w:r>
      <w:r w:rsidR="002410D6" w:rsidRPr="007349CF">
        <w:rPr>
          <w:rFonts w:ascii="Arial" w:hAnsi="Arial" w:cs="Arial"/>
          <w:sz w:val="22"/>
          <w:szCs w:val="22"/>
          <w:lang w:val="hr-HR"/>
        </w:rPr>
        <w:t xml:space="preserve">I </w:t>
      </w:r>
      <w:r w:rsidR="00C61E5B" w:rsidRPr="007349CF">
        <w:rPr>
          <w:rFonts w:ascii="Arial" w:hAnsi="Arial" w:cs="Arial"/>
          <w:sz w:val="22"/>
          <w:szCs w:val="22"/>
          <w:lang w:val="hr-HR"/>
        </w:rPr>
        <w:t>ovog</w:t>
      </w:r>
      <w:r w:rsidR="002410D6"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61E5B" w:rsidRPr="007349CF">
        <w:rPr>
          <w:rFonts w:ascii="Arial" w:hAnsi="Arial" w:cs="Arial"/>
          <w:sz w:val="22"/>
          <w:szCs w:val="22"/>
          <w:lang w:val="hr-HR"/>
        </w:rPr>
        <w:t>a</w:t>
      </w:r>
      <w:r w:rsidR="00CA76B4" w:rsidRPr="007349CF">
        <w:rPr>
          <w:rFonts w:ascii="Arial" w:hAnsi="Arial" w:cs="Arial"/>
          <w:sz w:val="22"/>
          <w:szCs w:val="22"/>
          <w:lang w:val="hr-HR"/>
        </w:rPr>
        <w:t>.</w:t>
      </w:r>
      <w:r w:rsidR="00827EEF" w:rsidRPr="007349CF">
        <w:rPr>
          <w:rFonts w:ascii="Arial" w:hAnsi="Arial" w:cs="Arial"/>
          <w:sz w:val="22"/>
          <w:szCs w:val="22"/>
          <w:lang w:val="hr-HR"/>
        </w:rPr>
        <w:t xml:space="preserve"> </w:t>
      </w:r>
      <w:r w:rsidR="009447F6" w:rsidRPr="007349CF">
        <w:rPr>
          <w:rFonts w:ascii="Arial" w:hAnsi="Arial" w:cs="Arial"/>
          <w:sz w:val="22"/>
          <w:szCs w:val="22"/>
          <w:lang w:val="hr-HR"/>
        </w:rPr>
        <w:t xml:space="preserve">Prilog </w:t>
      </w:r>
      <w:r w:rsidR="000F0DE9" w:rsidRPr="007349CF">
        <w:rPr>
          <w:rFonts w:ascii="Arial" w:hAnsi="Arial" w:cs="Arial"/>
          <w:sz w:val="22"/>
          <w:szCs w:val="22"/>
          <w:lang w:val="hr-HR"/>
        </w:rPr>
        <w:t xml:space="preserve">IV </w:t>
      </w:r>
      <w:r w:rsidR="00C61E5B" w:rsidRPr="007349CF">
        <w:rPr>
          <w:rFonts w:ascii="Arial" w:hAnsi="Arial" w:cs="Arial"/>
          <w:sz w:val="22"/>
          <w:szCs w:val="22"/>
          <w:lang w:val="hr-HR"/>
        </w:rPr>
        <w:t>sadrži</w:t>
      </w:r>
      <w:r w:rsidR="000F0DE9" w:rsidRPr="007349CF">
        <w:rPr>
          <w:rFonts w:ascii="Arial" w:hAnsi="Arial" w:cs="Arial"/>
          <w:sz w:val="22"/>
          <w:szCs w:val="22"/>
          <w:lang w:val="hr-HR"/>
        </w:rPr>
        <w:t xml:space="preserve"> </w:t>
      </w:r>
      <w:r w:rsidR="007D63E2" w:rsidRPr="007349CF">
        <w:rPr>
          <w:rFonts w:ascii="Arial" w:hAnsi="Arial" w:cs="Arial"/>
          <w:sz w:val="22"/>
          <w:szCs w:val="22"/>
          <w:lang w:val="hr-HR"/>
        </w:rPr>
        <w:t>tablicu</w:t>
      </w:r>
      <w:r w:rsidR="009447F6" w:rsidRPr="007349CF">
        <w:rPr>
          <w:rFonts w:ascii="Arial" w:hAnsi="Arial" w:cs="Arial"/>
          <w:sz w:val="22"/>
          <w:szCs w:val="22"/>
          <w:lang w:val="hr-HR"/>
        </w:rPr>
        <w:t xml:space="preserve"> bodovanja</w:t>
      </w:r>
      <w:r w:rsidR="006C1AB7" w:rsidRPr="007349CF">
        <w:rPr>
          <w:rFonts w:ascii="Arial" w:hAnsi="Arial" w:cs="Arial"/>
          <w:sz w:val="22"/>
          <w:szCs w:val="22"/>
          <w:lang w:val="hr-HR"/>
        </w:rPr>
        <w:t xml:space="preserve"> </w:t>
      </w:r>
      <w:r w:rsidR="00C61E5B" w:rsidRPr="007349CF">
        <w:rPr>
          <w:rFonts w:ascii="Arial" w:hAnsi="Arial" w:cs="Arial"/>
          <w:sz w:val="22"/>
          <w:szCs w:val="22"/>
          <w:lang w:val="hr-HR"/>
        </w:rPr>
        <w:t>za odabir</w:t>
      </w:r>
      <w:r w:rsidR="006C1AB7" w:rsidRPr="007349CF">
        <w:rPr>
          <w:rFonts w:ascii="Arial" w:hAnsi="Arial" w:cs="Arial"/>
          <w:sz w:val="22"/>
          <w:szCs w:val="22"/>
          <w:lang w:val="hr-HR"/>
        </w:rPr>
        <w:t xml:space="preserve"> </w:t>
      </w:r>
      <w:r w:rsidR="00C61E5B" w:rsidRPr="007349CF">
        <w:rPr>
          <w:rFonts w:ascii="Arial" w:hAnsi="Arial" w:cs="Arial"/>
          <w:sz w:val="22"/>
          <w:szCs w:val="22"/>
          <w:lang w:val="hr-HR"/>
        </w:rPr>
        <w:t xml:space="preserve">Financijskih institucija koje će provoditi </w:t>
      </w:r>
      <w:r w:rsidR="00DE40D4" w:rsidRPr="007349CF">
        <w:rPr>
          <w:rFonts w:ascii="Arial" w:hAnsi="Arial" w:cs="Arial"/>
          <w:sz w:val="22"/>
          <w:szCs w:val="22"/>
          <w:lang w:val="hr-HR"/>
        </w:rPr>
        <w:t>Program</w:t>
      </w:r>
      <w:r w:rsidR="000F0DE9" w:rsidRPr="007349CF">
        <w:rPr>
          <w:rFonts w:ascii="Arial" w:hAnsi="Arial" w:cs="Arial"/>
          <w:sz w:val="22"/>
          <w:szCs w:val="22"/>
          <w:lang w:val="hr-HR"/>
        </w:rPr>
        <w:t xml:space="preserve">. </w:t>
      </w:r>
      <w:r w:rsidR="00C61E5B" w:rsidRPr="007349CF">
        <w:rPr>
          <w:rFonts w:ascii="Arial" w:hAnsi="Arial" w:cs="Arial"/>
          <w:sz w:val="22"/>
          <w:szCs w:val="22"/>
          <w:lang w:val="hr-HR"/>
        </w:rPr>
        <w:t>Predložak sporazuma o suradnji koji će sklopiti</w:t>
      </w:r>
      <w:r w:rsidR="002410D6" w:rsidRPr="007349CF">
        <w:rPr>
          <w:rFonts w:ascii="Arial" w:hAnsi="Arial" w:cs="Arial"/>
          <w:sz w:val="22"/>
          <w:szCs w:val="22"/>
          <w:lang w:val="hr-HR"/>
        </w:rPr>
        <w:t xml:space="preserve"> </w:t>
      </w:r>
      <w:r w:rsidR="006C1AB7" w:rsidRPr="007349CF">
        <w:rPr>
          <w:rFonts w:ascii="Arial" w:hAnsi="Arial" w:cs="Arial"/>
          <w:sz w:val="22"/>
          <w:szCs w:val="22"/>
          <w:lang w:val="hr-HR"/>
        </w:rPr>
        <w:t xml:space="preserve">HAMAG-BICRO </w:t>
      </w:r>
      <w:r w:rsidR="00C61E5B" w:rsidRPr="007349CF">
        <w:rPr>
          <w:rFonts w:ascii="Arial" w:hAnsi="Arial" w:cs="Arial"/>
          <w:sz w:val="22"/>
          <w:szCs w:val="22"/>
          <w:lang w:val="hr-HR"/>
        </w:rPr>
        <w:t>i odabrane</w:t>
      </w:r>
      <w:r w:rsidR="006C1AB7" w:rsidRPr="007349CF">
        <w:rPr>
          <w:rFonts w:ascii="Arial" w:hAnsi="Arial" w:cs="Arial"/>
          <w:sz w:val="22"/>
          <w:szCs w:val="22"/>
          <w:lang w:val="hr-HR"/>
        </w:rPr>
        <w:t xml:space="preserve"> </w:t>
      </w:r>
      <w:r w:rsidR="00CD007D" w:rsidRPr="007349CF">
        <w:rPr>
          <w:rFonts w:ascii="Arial" w:hAnsi="Arial" w:cs="Arial"/>
          <w:sz w:val="22"/>
          <w:szCs w:val="22"/>
          <w:lang w:val="hr-HR"/>
        </w:rPr>
        <w:t>Financijske institucije</w:t>
      </w:r>
      <w:r w:rsidR="00827EEF" w:rsidRPr="007349CF">
        <w:rPr>
          <w:rFonts w:ascii="Arial" w:hAnsi="Arial" w:cs="Arial"/>
          <w:sz w:val="22"/>
          <w:szCs w:val="22"/>
          <w:lang w:val="hr-HR"/>
        </w:rPr>
        <w:t xml:space="preserve"> </w:t>
      </w:r>
      <w:r w:rsidR="00C61E5B" w:rsidRPr="007349CF">
        <w:rPr>
          <w:rFonts w:ascii="Arial" w:hAnsi="Arial" w:cs="Arial"/>
          <w:sz w:val="22"/>
          <w:szCs w:val="22"/>
          <w:lang w:val="hr-HR"/>
        </w:rPr>
        <w:t>temeljem</w:t>
      </w:r>
      <w:r w:rsidR="00827EEF" w:rsidRPr="007349CF">
        <w:rPr>
          <w:rFonts w:ascii="Arial" w:hAnsi="Arial" w:cs="Arial"/>
          <w:sz w:val="22"/>
          <w:szCs w:val="22"/>
          <w:lang w:val="hr-HR"/>
        </w:rPr>
        <w:t xml:space="preserve"> </w:t>
      </w:r>
      <w:r w:rsidR="00DE40D4" w:rsidRPr="007349CF">
        <w:rPr>
          <w:rFonts w:ascii="Arial" w:hAnsi="Arial" w:cs="Arial"/>
          <w:sz w:val="22"/>
          <w:szCs w:val="22"/>
          <w:lang w:val="hr-HR"/>
        </w:rPr>
        <w:t>Program</w:t>
      </w:r>
      <w:r w:rsidR="00C61E5B" w:rsidRPr="007349CF">
        <w:rPr>
          <w:rFonts w:ascii="Arial" w:hAnsi="Arial" w:cs="Arial"/>
          <w:sz w:val="22"/>
          <w:szCs w:val="22"/>
          <w:lang w:val="hr-HR"/>
        </w:rPr>
        <w:t>a nalazi se u</w:t>
      </w:r>
      <w:r w:rsidR="000F0DE9" w:rsidRPr="007349CF">
        <w:rPr>
          <w:rFonts w:ascii="Arial" w:hAnsi="Arial" w:cs="Arial"/>
          <w:sz w:val="22"/>
          <w:szCs w:val="22"/>
          <w:lang w:val="hr-HR"/>
        </w:rPr>
        <w:t xml:space="preserve"> </w:t>
      </w:r>
      <w:r w:rsidR="009447F6" w:rsidRPr="007349CF">
        <w:rPr>
          <w:rFonts w:ascii="Arial" w:hAnsi="Arial" w:cs="Arial"/>
          <w:sz w:val="22"/>
          <w:szCs w:val="22"/>
          <w:lang w:val="hr-HR"/>
        </w:rPr>
        <w:t>Prilog</w:t>
      </w:r>
      <w:r w:rsidR="00C61E5B" w:rsidRPr="007349CF">
        <w:rPr>
          <w:rFonts w:ascii="Arial" w:hAnsi="Arial" w:cs="Arial"/>
          <w:sz w:val="22"/>
          <w:szCs w:val="22"/>
          <w:lang w:val="hr-HR"/>
        </w:rPr>
        <w:t>u</w:t>
      </w:r>
      <w:r w:rsidR="009447F6" w:rsidRPr="007349CF">
        <w:rPr>
          <w:rFonts w:ascii="Arial" w:hAnsi="Arial" w:cs="Arial"/>
          <w:sz w:val="22"/>
          <w:szCs w:val="22"/>
          <w:lang w:val="hr-HR"/>
        </w:rPr>
        <w:t xml:space="preserve"> </w:t>
      </w:r>
      <w:r w:rsidR="00827EEF" w:rsidRPr="007349CF">
        <w:rPr>
          <w:rFonts w:ascii="Arial" w:hAnsi="Arial" w:cs="Arial"/>
          <w:sz w:val="22"/>
          <w:szCs w:val="22"/>
          <w:lang w:val="hr-HR"/>
        </w:rPr>
        <w:t xml:space="preserve">V </w:t>
      </w:r>
      <w:r w:rsidR="00C61E5B" w:rsidRPr="007349CF">
        <w:rPr>
          <w:rFonts w:ascii="Arial" w:hAnsi="Arial" w:cs="Arial"/>
          <w:sz w:val="22"/>
          <w:szCs w:val="22"/>
          <w:lang w:val="hr-HR"/>
        </w:rPr>
        <w:t>ovog</w:t>
      </w:r>
      <w:r w:rsidR="00827EEF"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61E5B" w:rsidRPr="007349CF">
        <w:rPr>
          <w:rFonts w:ascii="Arial" w:hAnsi="Arial" w:cs="Arial"/>
          <w:sz w:val="22"/>
          <w:szCs w:val="22"/>
          <w:lang w:val="hr-HR"/>
        </w:rPr>
        <w:t>a</w:t>
      </w:r>
      <w:r w:rsidR="00827EEF" w:rsidRPr="007349CF">
        <w:rPr>
          <w:rFonts w:ascii="Arial" w:hAnsi="Arial" w:cs="Arial"/>
          <w:sz w:val="22"/>
          <w:szCs w:val="22"/>
          <w:lang w:val="hr-HR"/>
        </w:rPr>
        <w:t>.</w:t>
      </w:r>
    </w:p>
    <w:p w14:paraId="5A849588" w14:textId="77777777" w:rsidR="002410D6" w:rsidRPr="007349CF" w:rsidRDefault="002410D6" w:rsidP="002410D6">
      <w:pPr>
        <w:pStyle w:val="Default"/>
        <w:jc w:val="both"/>
        <w:rPr>
          <w:rFonts w:ascii="Arial" w:hAnsi="Arial" w:cs="Arial"/>
          <w:sz w:val="22"/>
          <w:szCs w:val="22"/>
          <w:lang w:val="hr-HR"/>
        </w:rPr>
      </w:pPr>
    </w:p>
    <w:p w14:paraId="2B695BF2" w14:textId="77777777" w:rsidR="00CA76B4" w:rsidRPr="007349CF" w:rsidRDefault="00C61E5B" w:rsidP="002410D6">
      <w:pPr>
        <w:pStyle w:val="Default"/>
        <w:jc w:val="both"/>
        <w:rPr>
          <w:rFonts w:ascii="Arial" w:hAnsi="Arial" w:cs="Arial"/>
          <w:sz w:val="22"/>
          <w:szCs w:val="22"/>
          <w:lang w:val="hr-HR"/>
        </w:rPr>
      </w:pPr>
      <w:r w:rsidRPr="007349CF">
        <w:rPr>
          <w:rFonts w:ascii="Arial" w:hAnsi="Arial" w:cs="Arial"/>
          <w:sz w:val="22"/>
          <w:szCs w:val="22"/>
          <w:lang w:val="hr-HR"/>
        </w:rPr>
        <w:t>Sukladno prethodno navedenom</w:t>
      </w:r>
      <w:r w:rsidR="002410D6" w:rsidRPr="007349CF">
        <w:rPr>
          <w:rFonts w:ascii="Arial" w:hAnsi="Arial" w:cs="Arial"/>
          <w:sz w:val="22"/>
          <w:szCs w:val="22"/>
          <w:lang w:val="hr-HR"/>
        </w:rPr>
        <w:t xml:space="preserve">, </w:t>
      </w:r>
      <w:r w:rsidRPr="007349CF">
        <w:rPr>
          <w:rFonts w:ascii="Arial" w:hAnsi="Arial" w:cs="Arial"/>
          <w:sz w:val="22"/>
          <w:szCs w:val="22"/>
          <w:lang w:val="hr-HR"/>
        </w:rPr>
        <w:t>osim ovog uvodnog dokumenta</w:t>
      </w:r>
      <w:r w:rsidR="00CA76B4"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CA76B4" w:rsidRPr="007349CF">
        <w:rPr>
          <w:rFonts w:ascii="Arial" w:hAnsi="Arial" w:cs="Arial"/>
          <w:sz w:val="22"/>
          <w:szCs w:val="22"/>
          <w:lang w:val="hr-HR"/>
        </w:rPr>
        <w:t xml:space="preserve"> </w:t>
      </w:r>
      <w:r w:rsidRPr="007349CF">
        <w:rPr>
          <w:rFonts w:ascii="Arial" w:hAnsi="Arial" w:cs="Arial"/>
          <w:sz w:val="22"/>
          <w:szCs w:val="22"/>
          <w:lang w:val="hr-HR"/>
        </w:rPr>
        <w:t>sadrži sljedeće dokumente</w:t>
      </w:r>
      <w:r w:rsidR="00CA76B4" w:rsidRPr="007349CF">
        <w:rPr>
          <w:rFonts w:ascii="Arial" w:hAnsi="Arial" w:cs="Arial"/>
          <w:sz w:val="22"/>
          <w:szCs w:val="22"/>
          <w:lang w:val="hr-HR"/>
        </w:rPr>
        <w:t xml:space="preserve">: </w:t>
      </w:r>
    </w:p>
    <w:p w14:paraId="03F92F14" w14:textId="77777777" w:rsidR="009C37F4" w:rsidRPr="007349CF" w:rsidRDefault="009C37F4" w:rsidP="002410D6">
      <w:pPr>
        <w:pStyle w:val="Default"/>
        <w:jc w:val="both"/>
        <w:rPr>
          <w:rFonts w:ascii="Arial" w:hAnsi="Arial" w:cs="Arial"/>
          <w:sz w:val="22"/>
          <w:szCs w:val="22"/>
          <w:lang w:val="hr-HR"/>
        </w:rPr>
      </w:pPr>
    </w:p>
    <w:p w14:paraId="098FD5C8" w14:textId="530FE6D7" w:rsidR="00827EEF" w:rsidRPr="007349CF" w:rsidRDefault="009447F6" w:rsidP="003B7279">
      <w:pPr>
        <w:pStyle w:val="Default"/>
        <w:numPr>
          <w:ilvl w:val="0"/>
          <w:numId w:val="12"/>
        </w:numPr>
        <w:jc w:val="both"/>
        <w:rPr>
          <w:rFonts w:ascii="Arial" w:hAnsi="Arial" w:cs="Arial"/>
          <w:sz w:val="22"/>
          <w:szCs w:val="22"/>
          <w:lang w:val="hr-HR"/>
        </w:rPr>
      </w:pPr>
      <w:r w:rsidRPr="007349CF">
        <w:rPr>
          <w:rFonts w:ascii="Arial" w:hAnsi="Arial" w:cs="Arial"/>
          <w:sz w:val="22"/>
          <w:szCs w:val="22"/>
          <w:lang w:val="hr-HR"/>
        </w:rPr>
        <w:t xml:space="preserve">Prilog </w:t>
      </w:r>
      <w:r w:rsidR="001E768E" w:rsidRPr="007349CF">
        <w:rPr>
          <w:rFonts w:ascii="Arial" w:hAnsi="Arial" w:cs="Arial"/>
          <w:sz w:val="22"/>
          <w:szCs w:val="22"/>
          <w:lang w:val="hr-HR"/>
        </w:rPr>
        <w:t xml:space="preserve">I: </w:t>
      </w:r>
      <w:r w:rsidR="001E768E" w:rsidRPr="007349CF">
        <w:rPr>
          <w:rFonts w:ascii="Arial" w:hAnsi="Arial" w:cs="Arial"/>
          <w:sz w:val="22"/>
          <w:szCs w:val="22"/>
          <w:lang w:val="hr-HR"/>
        </w:rPr>
        <w:tab/>
      </w:r>
      <w:r w:rsidR="007D63E2" w:rsidRPr="007349CF">
        <w:rPr>
          <w:rFonts w:ascii="Arial" w:hAnsi="Arial" w:cs="Arial"/>
          <w:sz w:val="22"/>
          <w:szCs w:val="22"/>
          <w:lang w:val="hr-HR"/>
        </w:rPr>
        <w:t>Odredbe i uvjeti Programa</w:t>
      </w:r>
      <w:r w:rsidR="00827EEF" w:rsidRPr="007349CF">
        <w:rPr>
          <w:rFonts w:ascii="Arial" w:hAnsi="Arial" w:cs="Arial"/>
          <w:sz w:val="22"/>
          <w:szCs w:val="22"/>
          <w:lang w:val="hr-HR"/>
        </w:rPr>
        <w:t>,</w:t>
      </w:r>
    </w:p>
    <w:p w14:paraId="6E090004" w14:textId="77777777" w:rsidR="009C37F4" w:rsidRPr="007349CF" w:rsidRDefault="009C37F4" w:rsidP="002410D6">
      <w:pPr>
        <w:pStyle w:val="Default"/>
        <w:jc w:val="both"/>
        <w:rPr>
          <w:rFonts w:ascii="Arial" w:hAnsi="Arial" w:cs="Arial"/>
          <w:sz w:val="22"/>
          <w:szCs w:val="22"/>
          <w:lang w:val="hr-HR"/>
        </w:rPr>
      </w:pPr>
    </w:p>
    <w:p w14:paraId="6A5299A7" w14:textId="77777777" w:rsidR="001E768E" w:rsidRPr="007349CF" w:rsidRDefault="009447F6" w:rsidP="003B7279">
      <w:pPr>
        <w:pStyle w:val="Default"/>
        <w:numPr>
          <w:ilvl w:val="0"/>
          <w:numId w:val="12"/>
        </w:numPr>
        <w:jc w:val="both"/>
        <w:rPr>
          <w:rFonts w:ascii="Arial" w:hAnsi="Arial" w:cs="Arial"/>
          <w:sz w:val="22"/>
          <w:szCs w:val="22"/>
          <w:lang w:val="hr-HR"/>
        </w:rPr>
      </w:pPr>
      <w:r w:rsidRPr="007349CF">
        <w:rPr>
          <w:rFonts w:ascii="Arial" w:hAnsi="Arial" w:cs="Arial"/>
          <w:sz w:val="22"/>
          <w:szCs w:val="22"/>
          <w:lang w:val="hr-HR"/>
        </w:rPr>
        <w:t xml:space="preserve">Prilog </w:t>
      </w:r>
      <w:r w:rsidR="00827EEF" w:rsidRPr="007349CF">
        <w:rPr>
          <w:rFonts w:ascii="Arial" w:hAnsi="Arial" w:cs="Arial"/>
          <w:sz w:val="22"/>
          <w:szCs w:val="22"/>
          <w:lang w:val="hr-HR"/>
        </w:rPr>
        <w:t>II:</w:t>
      </w:r>
      <w:r w:rsidR="00827EEF" w:rsidRPr="007349CF">
        <w:rPr>
          <w:rFonts w:ascii="Arial" w:hAnsi="Arial" w:cs="Arial"/>
          <w:sz w:val="22"/>
          <w:szCs w:val="22"/>
          <w:lang w:val="hr-HR"/>
        </w:rPr>
        <w:tab/>
      </w:r>
      <w:r w:rsidRPr="007349CF">
        <w:rPr>
          <w:rFonts w:ascii="Arial" w:hAnsi="Arial" w:cs="Arial"/>
          <w:sz w:val="22"/>
          <w:szCs w:val="22"/>
          <w:lang w:val="hr-HR"/>
        </w:rPr>
        <w:t>Definicija MSP-a</w:t>
      </w:r>
      <w:r w:rsidR="001E768E" w:rsidRPr="007349CF">
        <w:rPr>
          <w:rFonts w:ascii="Arial" w:hAnsi="Arial" w:cs="Arial"/>
          <w:sz w:val="22"/>
          <w:szCs w:val="22"/>
          <w:lang w:val="hr-HR"/>
        </w:rPr>
        <w:t>,</w:t>
      </w:r>
    </w:p>
    <w:p w14:paraId="7DDD93C6" w14:textId="77777777" w:rsidR="009C37F4" w:rsidRPr="007349CF" w:rsidRDefault="009C37F4" w:rsidP="00D04629">
      <w:pPr>
        <w:pStyle w:val="Default"/>
        <w:ind w:left="1440" w:hanging="1440"/>
        <w:jc w:val="both"/>
        <w:rPr>
          <w:rFonts w:ascii="Arial" w:hAnsi="Arial" w:cs="Arial"/>
          <w:sz w:val="22"/>
          <w:szCs w:val="22"/>
          <w:lang w:val="hr-HR"/>
        </w:rPr>
      </w:pPr>
    </w:p>
    <w:p w14:paraId="387B19A7" w14:textId="1F4AD2CF" w:rsidR="00CA76B4" w:rsidRPr="007349CF" w:rsidRDefault="009447F6" w:rsidP="003B7279">
      <w:pPr>
        <w:pStyle w:val="Default"/>
        <w:numPr>
          <w:ilvl w:val="0"/>
          <w:numId w:val="12"/>
        </w:numPr>
        <w:jc w:val="both"/>
        <w:rPr>
          <w:rFonts w:ascii="Arial" w:hAnsi="Arial" w:cs="Arial"/>
          <w:sz w:val="22"/>
          <w:szCs w:val="22"/>
          <w:lang w:val="hr-HR"/>
        </w:rPr>
      </w:pPr>
      <w:r w:rsidRPr="007349CF">
        <w:rPr>
          <w:rFonts w:ascii="Arial" w:hAnsi="Arial" w:cs="Arial"/>
          <w:sz w:val="22"/>
          <w:szCs w:val="22"/>
          <w:lang w:val="hr-HR"/>
        </w:rPr>
        <w:t xml:space="preserve">Prilog </w:t>
      </w:r>
      <w:r w:rsidR="001E768E" w:rsidRPr="007349CF">
        <w:rPr>
          <w:rFonts w:ascii="Arial" w:hAnsi="Arial" w:cs="Arial"/>
          <w:sz w:val="22"/>
          <w:szCs w:val="22"/>
          <w:lang w:val="hr-HR"/>
        </w:rPr>
        <w:t>I</w:t>
      </w:r>
      <w:r w:rsidR="00CA76B4" w:rsidRPr="007349CF">
        <w:rPr>
          <w:rFonts w:ascii="Arial" w:hAnsi="Arial" w:cs="Arial"/>
          <w:sz w:val="22"/>
          <w:szCs w:val="22"/>
          <w:lang w:val="hr-HR"/>
        </w:rPr>
        <w:t>I</w:t>
      </w:r>
      <w:r w:rsidR="00827EEF" w:rsidRPr="007349CF">
        <w:rPr>
          <w:rFonts w:ascii="Arial" w:hAnsi="Arial" w:cs="Arial"/>
          <w:sz w:val="22"/>
          <w:szCs w:val="22"/>
          <w:lang w:val="hr-HR"/>
        </w:rPr>
        <w:t>I</w:t>
      </w:r>
      <w:r w:rsidR="00CA76B4" w:rsidRPr="007349CF">
        <w:rPr>
          <w:rFonts w:ascii="Arial" w:hAnsi="Arial" w:cs="Arial"/>
          <w:sz w:val="22"/>
          <w:szCs w:val="22"/>
          <w:lang w:val="hr-HR"/>
        </w:rPr>
        <w:t xml:space="preserve">: </w:t>
      </w:r>
      <w:r w:rsidR="001E768E" w:rsidRPr="007349CF">
        <w:rPr>
          <w:rFonts w:ascii="Arial" w:hAnsi="Arial" w:cs="Arial"/>
          <w:sz w:val="22"/>
          <w:szCs w:val="22"/>
          <w:lang w:val="hr-HR"/>
        </w:rPr>
        <w:tab/>
      </w:r>
      <w:r w:rsidRPr="007349CF">
        <w:rPr>
          <w:rFonts w:ascii="Arial" w:hAnsi="Arial" w:cs="Arial"/>
          <w:sz w:val="22"/>
          <w:szCs w:val="22"/>
          <w:lang w:val="hr-HR"/>
        </w:rPr>
        <w:t>Obrazac za iskazivanje interesa</w:t>
      </w:r>
      <w:r w:rsidR="003F03AF" w:rsidRPr="007349CF">
        <w:rPr>
          <w:rFonts w:ascii="Arial" w:hAnsi="Arial" w:cs="Arial"/>
          <w:sz w:val="22"/>
          <w:szCs w:val="22"/>
          <w:lang w:val="hr-HR"/>
        </w:rPr>
        <w:t>, s d</w:t>
      </w:r>
      <w:r w:rsidR="003B7279" w:rsidRPr="007349CF">
        <w:rPr>
          <w:rFonts w:ascii="Arial" w:hAnsi="Arial" w:cs="Arial"/>
          <w:sz w:val="22"/>
          <w:szCs w:val="22"/>
          <w:lang w:val="hr-HR"/>
        </w:rPr>
        <w:t>odacima</w:t>
      </w:r>
      <w:r w:rsidRPr="007349CF">
        <w:rPr>
          <w:rFonts w:ascii="Arial" w:hAnsi="Arial" w:cs="Arial"/>
          <w:sz w:val="22"/>
          <w:szCs w:val="22"/>
          <w:lang w:val="hr-HR"/>
        </w:rPr>
        <w:t xml:space="preserve"> </w:t>
      </w:r>
      <w:r w:rsidR="003B7279" w:rsidRPr="007349CF">
        <w:rPr>
          <w:rFonts w:ascii="Arial" w:hAnsi="Arial" w:cs="Arial"/>
          <w:sz w:val="22"/>
          <w:szCs w:val="22"/>
          <w:lang w:val="hr-HR"/>
        </w:rPr>
        <w:t>(</w:t>
      </w:r>
      <w:r w:rsidRPr="007349CF">
        <w:rPr>
          <w:rFonts w:ascii="Arial" w:hAnsi="Arial" w:cs="Arial"/>
          <w:sz w:val="22"/>
          <w:szCs w:val="22"/>
          <w:lang w:val="hr-HR"/>
        </w:rPr>
        <w:t>koji ispunjavaju</w:t>
      </w:r>
      <w:r w:rsidR="002410D6" w:rsidRPr="007349CF">
        <w:rPr>
          <w:rFonts w:ascii="Arial" w:hAnsi="Arial" w:cs="Arial"/>
          <w:sz w:val="22"/>
          <w:szCs w:val="22"/>
          <w:lang w:val="hr-HR"/>
        </w:rPr>
        <w:t xml:space="preserve"> </w:t>
      </w:r>
      <w:r w:rsidRPr="007349CF">
        <w:rPr>
          <w:rFonts w:ascii="Arial" w:hAnsi="Arial" w:cs="Arial"/>
          <w:sz w:val="22"/>
          <w:szCs w:val="22"/>
          <w:lang w:val="hr-HR"/>
        </w:rPr>
        <w:t>Prijavitelji</w:t>
      </w:r>
      <w:r w:rsidR="003B7279" w:rsidRPr="007349CF">
        <w:rPr>
          <w:rFonts w:ascii="Arial" w:hAnsi="Arial" w:cs="Arial"/>
          <w:sz w:val="22"/>
          <w:szCs w:val="22"/>
          <w:lang w:val="hr-HR"/>
        </w:rPr>
        <w:t>)</w:t>
      </w:r>
      <w:r w:rsidR="000F0DE9" w:rsidRPr="007349CF">
        <w:rPr>
          <w:rFonts w:ascii="Arial" w:hAnsi="Arial" w:cs="Arial"/>
          <w:sz w:val="22"/>
          <w:szCs w:val="22"/>
          <w:lang w:val="hr-HR"/>
        </w:rPr>
        <w:t xml:space="preserve"> </w:t>
      </w:r>
    </w:p>
    <w:p w14:paraId="6593E5EC" w14:textId="77777777" w:rsidR="009C37F4" w:rsidRPr="007349CF" w:rsidRDefault="009C37F4" w:rsidP="002410D6">
      <w:pPr>
        <w:pStyle w:val="Default"/>
        <w:jc w:val="both"/>
        <w:rPr>
          <w:rFonts w:ascii="Arial" w:hAnsi="Arial" w:cs="Arial"/>
          <w:sz w:val="22"/>
          <w:szCs w:val="22"/>
          <w:lang w:val="hr-HR"/>
        </w:rPr>
      </w:pPr>
    </w:p>
    <w:p w14:paraId="75E868CC" w14:textId="53E78718" w:rsidR="007B1287" w:rsidRPr="007349CF" w:rsidRDefault="009447F6" w:rsidP="003B7279">
      <w:pPr>
        <w:pStyle w:val="Default"/>
        <w:numPr>
          <w:ilvl w:val="0"/>
          <w:numId w:val="12"/>
        </w:numPr>
        <w:jc w:val="both"/>
        <w:rPr>
          <w:rFonts w:ascii="Arial" w:hAnsi="Arial" w:cs="Arial"/>
          <w:sz w:val="22"/>
          <w:szCs w:val="22"/>
          <w:lang w:val="hr-HR"/>
        </w:rPr>
      </w:pPr>
      <w:r w:rsidRPr="007349CF">
        <w:rPr>
          <w:rFonts w:ascii="Arial" w:hAnsi="Arial" w:cs="Arial"/>
          <w:sz w:val="22"/>
          <w:szCs w:val="22"/>
          <w:lang w:val="hr-HR"/>
        </w:rPr>
        <w:t xml:space="preserve">Prilog </w:t>
      </w:r>
      <w:r w:rsidR="007B1287" w:rsidRPr="007349CF">
        <w:rPr>
          <w:rFonts w:ascii="Arial" w:hAnsi="Arial" w:cs="Arial"/>
          <w:sz w:val="22"/>
          <w:szCs w:val="22"/>
          <w:lang w:val="hr-HR"/>
        </w:rPr>
        <w:t>IV:</w:t>
      </w:r>
      <w:r w:rsidR="007B1287" w:rsidRPr="007349CF">
        <w:rPr>
          <w:rFonts w:ascii="Arial" w:hAnsi="Arial" w:cs="Arial"/>
          <w:sz w:val="22"/>
          <w:szCs w:val="22"/>
          <w:lang w:val="hr-HR"/>
        </w:rPr>
        <w:tab/>
      </w:r>
      <w:r w:rsidR="007D63E2" w:rsidRPr="007349CF">
        <w:rPr>
          <w:rFonts w:ascii="Arial" w:hAnsi="Arial" w:cs="Arial"/>
          <w:sz w:val="22"/>
          <w:szCs w:val="22"/>
          <w:lang w:val="hr-HR"/>
        </w:rPr>
        <w:t>Tablica</w:t>
      </w:r>
      <w:r w:rsidRPr="007349CF">
        <w:rPr>
          <w:rFonts w:ascii="Arial" w:hAnsi="Arial" w:cs="Arial"/>
          <w:sz w:val="22"/>
          <w:szCs w:val="22"/>
          <w:lang w:val="hr-HR"/>
        </w:rPr>
        <w:t xml:space="preserve"> bodovanja</w:t>
      </w:r>
      <w:r w:rsidR="003B7279" w:rsidRPr="007349CF">
        <w:rPr>
          <w:rFonts w:ascii="Arial" w:hAnsi="Arial" w:cs="Arial"/>
          <w:sz w:val="22"/>
          <w:szCs w:val="22"/>
          <w:lang w:val="hr-HR"/>
        </w:rPr>
        <w:t>,</w:t>
      </w:r>
    </w:p>
    <w:p w14:paraId="700940AF" w14:textId="77777777" w:rsidR="007B1287" w:rsidRPr="007349CF" w:rsidRDefault="007B1287" w:rsidP="002410D6">
      <w:pPr>
        <w:pStyle w:val="Default"/>
        <w:jc w:val="both"/>
        <w:rPr>
          <w:rFonts w:ascii="Arial" w:hAnsi="Arial" w:cs="Arial"/>
          <w:sz w:val="22"/>
          <w:szCs w:val="22"/>
          <w:lang w:val="hr-HR"/>
        </w:rPr>
      </w:pPr>
    </w:p>
    <w:p w14:paraId="547AEF06" w14:textId="4CFFD6DF" w:rsidR="007B1287" w:rsidRPr="007349CF" w:rsidRDefault="009447F6" w:rsidP="00173BA6">
      <w:pPr>
        <w:pStyle w:val="Default"/>
        <w:numPr>
          <w:ilvl w:val="0"/>
          <w:numId w:val="12"/>
        </w:numPr>
        <w:jc w:val="both"/>
        <w:rPr>
          <w:rFonts w:ascii="Arial" w:hAnsi="Arial" w:cs="Arial"/>
          <w:color w:val="auto"/>
          <w:sz w:val="22"/>
          <w:szCs w:val="22"/>
          <w:lang w:val="hr-HR"/>
        </w:rPr>
      </w:pPr>
      <w:r w:rsidRPr="007349CF">
        <w:rPr>
          <w:rFonts w:ascii="Arial" w:hAnsi="Arial" w:cs="Arial"/>
          <w:color w:val="auto"/>
          <w:sz w:val="22"/>
          <w:szCs w:val="22"/>
          <w:lang w:val="hr-HR"/>
        </w:rPr>
        <w:t xml:space="preserve">Prilog </w:t>
      </w:r>
      <w:r w:rsidR="001E768E" w:rsidRPr="007349CF">
        <w:rPr>
          <w:rFonts w:ascii="Arial" w:hAnsi="Arial" w:cs="Arial"/>
          <w:color w:val="auto"/>
          <w:sz w:val="22"/>
          <w:szCs w:val="22"/>
          <w:lang w:val="hr-HR"/>
        </w:rPr>
        <w:t>V</w:t>
      </w:r>
      <w:r w:rsidR="002410D6" w:rsidRPr="007349CF">
        <w:rPr>
          <w:rFonts w:ascii="Arial" w:hAnsi="Arial" w:cs="Arial"/>
          <w:color w:val="auto"/>
          <w:sz w:val="22"/>
          <w:szCs w:val="22"/>
          <w:lang w:val="hr-HR"/>
        </w:rPr>
        <w:t xml:space="preserve">: </w:t>
      </w:r>
      <w:r w:rsidR="001E768E" w:rsidRPr="007349CF">
        <w:rPr>
          <w:rFonts w:ascii="Arial" w:hAnsi="Arial" w:cs="Arial"/>
          <w:color w:val="auto"/>
          <w:sz w:val="22"/>
          <w:szCs w:val="22"/>
          <w:lang w:val="hr-HR"/>
        </w:rPr>
        <w:tab/>
      </w:r>
      <w:r w:rsidRPr="007349CF">
        <w:rPr>
          <w:rFonts w:ascii="Arial" w:hAnsi="Arial" w:cs="Arial"/>
          <w:color w:val="auto"/>
          <w:sz w:val="22"/>
          <w:szCs w:val="22"/>
          <w:lang w:val="hr-HR"/>
        </w:rPr>
        <w:t>Predložak Sporazuma o suradnji</w:t>
      </w:r>
      <w:r w:rsidR="002410D6" w:rsidRPr="007349CF">
        <w:rPr>
          <w:rFonts w:ascii="Arial" w:hAnsi="Arial" w:cs="Arial"/>
          <w:color w:val="auto"/>
          <w:sz w:val="22"/>
          <w:szCs w:val="22"/>
          <w:lang w:val="hr-HR"/>
        </w:rPr>
        <w:t xml:space="preserve"> </w:t>
      </w:r>
    </w:p>
    <w:p w14:paraId="0DE31117" w14:textId="77777777" w:rsidR="007D63E2" w:rsidRPr="007349CF" w:rsidRDefault="007D63E2" w:rsidP="00CA76B4">
      <w:pPr>
        <w:pStyle w:val="Default"/>
        <w:rPr>
          <w:rFonts w:ascii="Arial" w:hAnsi="Arial" w:cs="Arial"/>
          <w:sz w:val="22"/>
          <w:szCs w:val="22"/>
          <w:lang w:val="hr-HR"/>
        </w:rPr>
      </w:pPr>
    </w:p>
    <w:p w14:paraId="0B30A395" w14:textId="440602AA" w:rsidR="00CA76B4" w:rsidRPr="007349CF" w:rsidRDefault="009447F6" w:rsidP="00CA76B4">
      <w:pPr>
        <w:pStyle w:val="Default"/>
        <w:rPr>
          <w:rFonts w:ascii="Arial" w:hAnsi="Arial" w:cs="Arial"/>
          <w:sz w:val="22"/>
          <w:szCs w:val="22"/>
          <w:lang w:val="hr-HR"/>
        </w:rPr>
      </w:pPr>
      <w:r w:rsidRPr="007349CF">
        <w:rPr>
          <w:rFonts w:ascii="Arial" w:hAnsi="Arial" w:cs="Arial"/>
          <w:sz w:val="22"/>
          <w:szCs w:val="22"/>
          <w:lang w:val="hr-HR"/>
        </w:rPr>
        <w:t xml:space="preserve">Ovaj </w:t>
      </w:r>
      <w:r w:rsidR="00B65F81" w:rsidRPr="007349CF">
        <w:rPr>
          <w:rFonts w:ascii="Arial" w:hAnsi="Arial" w:cs="Arial"/>
          <w:sz w:val="22"/>
          <w:szCs w:val="22"/>
          <w:lang w:val="hr-HR"/>
        </w:rPr>
        <w:t>Poziv</w:t>
      </w:r>
      <w:r w:rsidR="003F03AF" w:rsidRPr="007349CF">
        <w:rPr>
          <w:rFonts w:ascii="Arial" w:hAnsi="Arial" w:cs="Arial"/>
          <w:sz w:val="22"/>
          <w:szCs w:val="22"/>
          <w:lang w:val="hr-HR"/>
        </w:rPr>
        <w:t xml:space="preserve"> je</w:t>
      </w:r>
      <w:r w:rsidR="002410D6" w:rsidRPr="007349CF">
        <w:rPr>
          <w:rFonts w:ascii="Arial" w:hAnsi="Arial" w:cs="Arial"/>
          <w:sz w:val="22"/>
          <w:szCs w:val="22"/>
          <w:lang w:val="hr-HR"/>
        </w:rPr>
        <w:t xml:space="preserve"> </w:t>
      </w:r>
      <w:r w:rsidRPr="007349CF">
        <w:rPr>
          <w:rFonts w:ascii="Arial" w:hAnsi="Arial" w:cs="Arial"/>
          <w:sz w:val="22"/>
          <w:szCs w:val="22"/>
          <w:lang w:val="hr-HR"/>
        </w:rPr>
        <w:t xml:space="preserve">objavljen na </w:t>
      </w:r>
      <w:r w:rsidR="003B7279" w:rsidRPr="007349CF">
        <w:rPr>
          <w:rFonts w:ascii="Arial" w:hAnsi="Arial" w:cs="Arial"/>
          <w:sz w:val="22"/>
          <w:szCs w:val="22"/>
          <w:lang w:val="hr-HR"/>
        </w:rPr>
        <w:t>internetskoj</w:t>
      </w:r>
      <w:r w:rsidRPr="007349CF">
        <w:rPr>
          <w:rFonts w:ascii="Arial" w:hAnsi="Arial" w:cs="Arial"/>
          <w:sz w:val="22"/>
          <w:szCs w:val="22"/>
          <w:lang w:val="hr-HR"/>
        </w:rPr>
        <w:t xml:space="preserve"> stranici</w:t>
      </w:r>
      <w:r w:rsidR="002410D6" w:rsidRPr="007349CF">
        <w:rPr>
          <w:rFonts w:ascii="Arial" w:hAnsi="Arial" w:cs="Arial"/>
          <w:sz w:val="22"/>
          <w:szCs w:val="22"/>
          <w:lang w:val="hr-HR"/>
        </w:rPr>
        <w:t xml:space="preserve"> HAMAG-</w:t>
      </w:r>
      <w:r w:rsidR="002410D6" w:rsidRPr="00B92C6A">
        <w:rPr>
          <w:rFonts w:ascii="Arial" w:hAnsi="Arial" w:cs="Arial"/>
          <w:sz w:val="22"/>
          <w:szCs w:val="22"/>
          <w:lang w:val="hr-HR"/>
        </w:rPr>
        <w:t>BICRO</w:t>
      </w:r>
      <w:r w:rsidRPr="00B92C6A">
        <w:rPr>
          <w:rFonts w:ascii="Arial" w:hAnsi="Arial" w:cs="Arial"/>
          <w:sz w:val="22"/>
          <w:szCs w:val="22"/>
          <w:lang w:val="hr-HR"/>
        </w:rPr>
        <w:t>-a</w:t>
      </w:r>
      <w:r w:rsidR="002410D6" w:rsidRPr="00B92C6A">
        <w:rPr>
          <w:rFonts w:ascii="Arial" w:hAnsi="Arial" w:cs="Arial"/>
          <w:sz w:val="22"/>
          <w:szCs w:val="22"/>
          <w:lang w:val="hr-HR"/>
        </w:rPr>
        <w:t xml:space="preserve"> </w:t>
      </w:r>
      <w:r w:rsidR="00F262F0" w:rsidRPr="00B92C6A">
        <w:rPr>
          <w:rFonts w:ascii="Arial" w:hAnsi="Arial" w:cs="Arial"/>
          <w:sz w:val="22"/>
          <w:szCs w:val="22"/>
          <w:lang w:val="hr-HR"/>
        </w:rPr>
        <w:t xml:space="preserve"> 2</w:t>
      </w:r>
      <w:r w:rsidR="00570EA2" w:rsidRPr="00B92C6A">
        <w:rPr>
          <w:rFonts w:ascii="Arial" w:hAnsi="Arial" w:cs="Arial"/>
          <w:sz w:val="22"/>
          <w:szCs w:val="22"/>
          <w:lang w:val="hr-HR"/>
        </w:rPr>
        <w:t>6</w:t>
      </w:r>
      <w:r w:rsidR="00F262F0" w:rsidRPr="00B92C6A">
        <w:rPr>
          <w:rFonts w:ascii="Arial" w:hAnsi="Arial" w:cs="Arial"/>
          <w:sz w:val="22"/>
          <w:szCs w:val="22"/>
          <w:lang w:val="hr-HR"/>
        </w:rPr>
        <w:t>.</w:t>
      </w:r>
      <w:r w:rsidR="00570EA2" w:rsidRPr="00B92C6A">
        <w:rPr>
          <w:rFonts w:ascii="Arial" w:hAnsi="Arial" w:cs="Arial"/>
          <w:sz w:val="22"/>
          <w:szCs w:val="22"/>
          <w:lang w:val="hr-HR"/>
        </w:rPr>
        <w:t>travnja</w:t>
      </w:r>
      <w:r w:rsidR="00F262F0" w:rsidRPr="00B92C6A">
        <w:rPr>
          <w:rFonts w:ascii="Arial" w:hAnsi="Arial" w:cs="Arial"/>
          <w:sz w:val="22"/>
          <w:szCs w:val="22"/>
          <w:lang w:val="hr-HR"/>
        </w:rPr>
        <w:t>.</w:t>
      </w:r>
      <w:r w:rsidR="00D04629" w:rsidRPr="00B92C6A">
        <w:rPr>
          <w:rFonts w:ascii="Arial" w:hAnsi="Arial" w:cs="Arial"/>
          <w:sz w:val="22"/>
          <w:szCs w:val="22"/>
          <w:lang w:val="hr-HR"/>
        </w:rPr>
        <w:t>201</w:t>
      </w:r>
      <w:r w:rsidR="00570EA2" w:rsidRPr="00B92C6A">
        <w:rPr>
          <w:rFonts w:ascii="Arial" w:hAnsi="Arial" w:cs="Arial"/>
          <w:sz w:val="22"/>
          <w:szCs w:val="22"/>
          <w:lang w:val="hr-HR"/>
        </w:rPr>
        <w:t>9</w:t>
      </w:r>
      <w:r w:rsidR="00D04629" w:rsidRPr="00B92C6A">
        <w:rPr>
          <w:rFonts w:ascii="Arial" w:hAnsi="Arial" w:cs="Arial"/>
          <w:sz w:val="22"/>
          <w:szCs w:val="22"/>
          <w:lang w:val="hr-HR"/>
        </w:rPr>
        <w:t>.</w:t>
      </w:r>
      <w:r w:rsidR="002410D6" w:rsidRPr="00B92C6A">
        <w:rPr>
          <w:rFonts w:ascii="Arial" w:hAnsi="Arial" w:cs="Arial"/>
          <w:sz w:val="22"/>
          <w:szCs w:val="22"/>
          <w:lang w:val="hr-HR"/>
        </w:rPr>
        <w:t xml:space="preserve"> </w:t>
      </w:r>
      <w:r w:rsidRPr="00B92C6A">
        <w:rPr>
          <w:rFonts w:ascii="Arial" w:hAnsi="Arial" w:cs="Arial"/>
          <w:sz w:val="22"/>
          <w:szCs w:val="22"/>
          <w:lang w:val="hr-HR"/>
        </w:rPr>
        <w:t>godine.</w:t>
      </w:r>
    </w:p>
    <w:p w14:paraId="64003BE8" w14:textId="77777777" w:rsidR="002212EC" w:rsidRPr="007349CF" w:rsidRDefault="002212EC" w:rsidP="00CA76B4">
      <w:pPr>
        <w:pStyle w:val="Default"/>
        <w:rPr>
          <w:rFonts w:ascii="Arial" w:hAnsi="Arial" w:cs="Arial"/>
          <w:b/>
          <w:sz w:val="22"/>
          <w:szCs w:val="22"/>
          <w:lang w:val="hr-HR"/>
        </w:rPr>
      </w:pPr>
    </w:p>
    <w:p w14:paraId="780716A2" w14:textId="77777777" w:rsidR="00CA76B4" w:rsidRPr="007349CF" w:rsidRDefault="00CA76B4" w:rsidP="00CA76B4">
      <w:pPr>
        <w:pStyle w:val="Default"/>
        <w:rPr>
          <w:rFonts w:ascii="Arial" w:hAnsi="Arial" w:cs="Arial"/>
          <w:b/>
          <w:sz w:val="22"/>
          <w:szCs w:val="22"/>
          <w:lang w:val="hr-HR"/>
        </w:rPr>
      </w:pPr>
      <w:r w:rsidRPr="007349CF">
        <w:rPr>
          <w:rFonts w:ascii="Arial" w:hAnsi="Arial" w:cs="Arial"/>
          <w:b/>
          <w:sz w:val="22"/>
          <w:szCs w:val="22"/>
          <w:lang w:val="hr-HR"/>
        </w:rPr>
        <w:t xml:space="preserve">2. </w:t>
      </w:r>
      <w:r w:rsidR="00EE2BDF" w:rsidRPr="007349CF">
        <w:rPr>
          <w:rFonts w:ascii="Arial" w:hAnsi="Arial" w:cs="Arial"/>
          <w:b/>
          <w:sz w:val="22"/>
          <w:szCs w:val="22"/>
          <w:lang w:val="hr-HR"/>
        </w:rPr>
        <w:tab/>
      </w:r>
      <w:r w:rsidR="009447F6" w:rsidRPr="007349CF">
        <w:rPr>
          <w:rFonts w:ascii="Arial" w:hAnsi="Arial" w:cs="Arial"/>
          <w:b/>
          <w:sz w:val="22"/>
          <w:szCs w:val="22"/>
          <w:lang w:val="hr-HR"/>
        </w:rPr>
        <w:t>Prihvatljivost</w:t>
      </w:r>
      <w:r w:rsidR="00D7437F" w:rsidRPr="007349CF">
        <w:rPr>
          <w:rFonts w:ascii="Arial" w:hAnsi="Arial" w:cs="Arial"/>
          <w:b/>
          <w:sz w:val="22"/>
          <w:szCs w:val="22"/>
          <w:lang w:val="hr-HR"/>
        </w:rPr>
        <w:t xml:space="preserve"> </w:t>
      </w:r>
      <w:r w:rsidR="009447F6" w:rsidRPr="007349CF">
        <w:rPr>
          <w:rFonts w:ascii="Arial" w:hAnsi="Arial" w:cs="Arial"/>
          <w:b/>
          <w:sz w:val="22"/>
          <w:szCs w:val="22"/>
          <w:lang w:val="hr-HR"/>
        </w:rPr>
        <w:t>Financijskih institucija u sklopu ovog</w:t>
      </w:r>
      <w:r w:rsidR="00D7437F" w:rsidRPr="007349CF">
        <w:rPr>
          <w:rFonts w:ascii="Arial" w:hAnsi="Arial" w:cs="Arial"/>
          <w:b/>
          <w:sz w:val="22"/>
          <w:szCs w:val="22"/>
          <w:lang w:val="hr-HR"/>
        </w:rPr>
        <w:t xml:space="preserve"> </w:t>
      </w:r>
      <w:r w:rsidR="00B65F81" w:rsidRPr="007349CF">
        <w:rPr>
          <w:rFonts w:ascii="Arial" w:hAnsi="Arial" w:cs="Arial"/>
          <w:b/>
          <w:sz w:val="22"/>
          <w:szCs w:val="22"/>
          <w:lang w:val="hr-HR"/>
        </w:rPr>
        <w:t>Poziv</w:t>
      </w:r>
      <w:r w:rsidR="009447F6" w:rsidRPr="007349CF">
        <w:rPr>
          <w:rFonts w:ascii="Arial" w:hAnsi="Arial" w:cs="Arial"/>
          <w:b/>
          <w:sz w:val="22"/>
          <w:szCs w:val="22"/>
          <w:lang w:val="hr-HR"/>
        </w:rPr>
        <w:t>a</w:t>
      </w:r>
    </w:p>
    <w:p w14:paraId="42FC3F82" w14:textId="77777777" w:rsidR="00EE2BDF" w:rsidRPr="007349CF" w:rsidRDefault="00EE2BDF" w:rsidP="00CA76B4">
      <w:pPr>
        <w:pStyle w:val="Default"/>
        <w:rPr>
          <w:rFonts w:ascii="Arial" w:hAnsi="Arial" w:cs="Arial"/>
          <w:sz w:val="22"/>
          <w:szCs w:val="22"/>
          <w:lang w:val="hr-HR"/>
        </w:rPr>
      </w:pPr>
    </w:p>
    <w:p w14:paraId="621D4567" w14:textId="785A47E4" w:rsidR="00CA76B4" w:rsidRPr="007349CF" w:rsidRDefault="00C61E5B" w:rsidP="002212EC">
      <w:pPr>
        <w:pStyle w:val="Default"/>
        <w:jc w:val="both"/>
        <w:rPr>
          <w:rFonts w:ascii="Arial" w:hAnsi="Arial" w:cs="Arial"/>
          <w:sz w:val="22"/>
          <w:szCs w:val="22"/>
          <w:lang w:val="hr-HR"/>
        </w:rPr>
      </w:pPr>
      <w:r w:rsidRPr="007349CF">
        <w:rPr>
          <w:rFonts w:ascii="Arial" w:hAnsi="Arial" w:cs="Arial"/>
          <w:sz w:val="22"/>
          <w:szCs w:val="22"/>
          <w:lang w:val="hr-HR"/>
        </w:rPr>
        <w:t xml:space="preserve">Ovaj </w:t>
      </w:r>
      <w:r w:rsidR="00B65F81" w:rsidRPr="007349CF">
        <w:rPr>
          <w:rFonts w:ascii="Arial" w:hAnsi="Arial" w:cs="Arial"/>
          <w:sz w:val="22"/>
          <w:szCs w:val="22"/>
          <w:lang w:val="hr-HR"/>
        </w:rPr>
        <w:t>Poziv</w:t>
      </w:r>
      <w:r w:rsidR="003F03AF" w:rsidRPr="007349CF">
        <w:rPr>
          <w:rFonts w:ascii="Arial" w:hAnsi="Arial" w:cs="Arial"/>
          <w:sz w:val="22"/>
          <w:szCs w:val="22"/>
          <w:lang w:val="hr-HR"/>
        </w:rPr>
        <w:t xml:space="preserve"> je</w:t>
      </w:r>
      <w:r w:rsidR="00CA76B4" w:rsidRPr="007349CF">
        <w:rPr>
          <w:rFonts w:ascii="Arial" w:hAnsi="Arial" w:cs="Arial"/>
          <w:sz w:val="22"/>
          <w:szCs w:val="22"/>
          <w:lang w:val="hr-HR"/>
        </w:rPr>
        <w:t xml:space="preserve"> </w:t>
      </w:r>
      <w:r w:rsidRPr="007349CF">
        <w:rPr>
          <w:rFonts w:ascii="Arial" w:hAnsi="Arial" w:cs="Arial"/>
          <w:sz w:val="22"/>
          <w:szCs w:val="22"/>
          <w:lang w:val="hr-HR"/>
        </w:rPr>
        <w:t>upućen i ograničen na</w:t>
      </w:r>
      <w:r w:rsidR="006C1AB7" w:rsidRPr="007349CF">
        <w:rPr>
          <w:rFonts w:ascii="Arial" w:hAnsi="Arial" w:cs="Arial"/>
          <w:sz w:val="22"/>
          <w:szCs w:val="22"/>
          <w:lang w:val="hr-HR"/>
        </w:rPr>
        <w:t xml:space="preserve"> </w:t>
      </w:r>
      <w:r w:rsidR="00CD007D" w:rsidRPr="007349CF">
        <w:rPr>
          <w:rFonts w:ascii="Arial" w:hAnsi="Arial" w:cs="Arial"/>
          <w:sz w:val="22"/>
          <w:szCs w:val="22"/>
          <w:lang w:val="hr-HR"/>
        </w:rPr>
        <w:t>Financijske institucije</w:t>
      </w:r>
      <w:r w:rsidR="00CA76B4" w:rsidRPr="007349CF">
        <w:rPr>
          <w:rFonts w:ascii="Arial" w:hAnsi="Arial" w:cs="Arial"/>
          <w:sz w:val="22"/>
          <w:szCs w:val="22"/>
          <w:lang w:val="hr-HR"/>
        </w:rPr>
        <w:t xml:space="preserve"> </w:t>
      </w:r>
      <w:r w:rsidRPr="007349CF">
        <w:rPr>
          <w:rFonts w:ascii="Arial" w:hAnsi="Arial" w:cs="Arial"/>
          <w:sz w:val="22"/>
          <w:szCs w:val="22"/>
          <w:lang w:val="hr-HR"/>
        </w:rPr>
        <w:t>koje provode financiranje MSP-ova, te su propisno osnovane i imaju ovlaštenje za provođenje kreditnih aktivnosti</w:t>
      </w:r>
      <w:r w:rsidR="00CA76B4" w:rsidRPr="007349CF">
        <w:rPr>
          <w:rFonts w:ascii="Arial" w:hAnsi="Arial" w:cs="Arial"/>
          <w:sz w:val="22"/>
          <w:szCs w:val="22"/>
          <w:lang w:val="hr-HR"/>
        </w:rPr>
        <w:t xml:space="preserve"> </w:t>
      </w:r>
      <w:r w:rsidRPr="007349CF">
        <w:rPr>
          <w:rFonts w:ascii="Arial" w:hAnsi="Arial" w:cs="Arial"/>
          <w:sz w:val="22"/>
          <w:szCs w:val="22"/>
          <w:lang w:val="hr-HR"/>
        </w:rPr>
        <w:t xml:space="preserve">u </w:t>
      </w:r>
      <w:r w:rsidR="00CA76B4" w:rsidRPr="007349CF">
        <w:rPr>
          <w:rFonts w:ascii="Arial" w:hAnsi="Arial" w:cs="Arial"/>
          <w:sz w:val="22"/>
          <w:szCs w:val="22"/>
          <w:lang w:val="hr-HR"/>
        </w:rPr>
        <w:t>Republic</w:t>
      </w:r>
      <w:r w:rsidRPr="007349CF">
        <w:rPr>
          <w:rFonts w:ascii="Arial" w:hAnsi="Arial" w:cs="Arial"/>
          <w:sz w:val="22"/>
          <w:szCs w:val="22"/>
          <w:lang w:val="hr-HR"/>
        </w:rPr>
        <w:t>i Hrvatskoj</w:t>
      </w:r>
      <w:r w:rsidR="00CA76B4" w:rsidRPr="007349CF">
        <w:rPr>
          <w:rFonts w:ascii="Arial" w:hAnsi="Arial" w:cs="Arial"/>
          <w:sz w:val="22"/>
          <w:szCs w:val="22"/>
          <w:lang w:val="hr-HR"/>
        </w:rPr>
        <w:t xml:space="preserve">. </w:t>
      </w:r>
    </w:p>
    <w:p w14:paraId="17FC5ED5" w14:textId="77777777" w:rsidR="002212EC" w:rsidRPr="007349CF" w:rsidRDefault="002212EC" w:rsidP="002212EC">
      <w:pPr>
        <w:pStyle w:val="Default"/>
        <w:jc w:val="both"/>
        <w:rPr>
          <w:rFonts w:ascii="Arial" w:hAnsi="Arial" w:cs="Arial"/>
          <w:sz w:val="22"/>
          <w:szCs w:val="22"/>
          <w:lang w:val="hr-HR"/>
        </w:rPr>
      </w:pPr>
    </w:p>
    <w:p w14:paraId="47CEBFC2" w14:textId="5CEE6AF0" w:rsidR="002212EC" w:rsidRPr="007349CF" w:rsidRDefault="00C61E5B" w:rsidP="002212EC">
      <w:pPr>
        <w:pStyle w:val="Default"/>
        <w:jc w:val="both"/>
        <w:rPr>
          <w:rFonts w:ascii="Arial" w:hAnsi="Arial" w:cs="Arial"/>
          <w:sz w:val="22"/>
          <w:szCs w:val="22"/>
          <w:lang w:val="hr-HR"/>
        </w:rPr>
      </w:pPr>
      <w:r w:rsidRPr="007349CF">
        <w:rPr>
          <w:rFonts w:ascii="Arial" w:hAnsi="Arial" w:cs="Arial"/>
          <w:sz w:val="22"/>
          <w:szCs w:val="22"/>
          <w:lang w:val="hr-HR"/>
        </w:rPr>
        <w:t>Prihvatljive</w:t>
      </w:r>
      <w:r w:rsidR="006C1AB7" w:rsidRPr="007349CF">
        <w:rPr>
          <w:rFonts w:ascii="Arial" w:hAnsi="Arial" w:cs="Arial"/>
          <w:sz w:val="22"/>
          <w:szCs w:val="22"/>
          <w:lang w:val="hr-HR"/>
        </w:rPr>
        <w:t xml:space="preserve"> </w:t>
      </w:r>
      <w:r w:rsidR="00CD007D" w:rsidRPr="007349CF">
        <w:rPr>
          <w:rFonts w:ascii="Arial" w:hAnsi="Arial" w:cs="Arial"/>
          <w:sz w:val="22"/>
          <w:szCs w:val="22"/>
          <w:lang w:val="hr-HR"/>
        </w:rPr>
        <w:t>Financijske institucije</w:t>
      </w:r>
      <w:r w:rsidR="00CA76B4" w:rsidRPr="007349CF">
        <w:rPr>
          <w:rFonts w:ascii="Arial" w:hAnsi="Arial" w:cs="Arial"/>
          <w:sz w:val="22"/>
          <w:szCs w:val="22"/>
          <w:lang w:val="hr-HR"/>
        </w:rPr>
        <w:t xml:space="preserve"> </w:t>
      </w:r>
      <w:r w:rsidRPr="007349CF">
        <w:rPr>
          <w:rFonts w:ascii="Arial" w:hAnsi="Arial" w:cs="Arial"/>
          <w:sz w:val="22"/>
          <w:szCs w:val="22"/>
          <w:lang w:val="hr-HR"/>
        </w:rPr>
        <w:t>moraju biti u skladu s</w:t>
      </w:r>
      <w:r w:rsidR="00CA76B4" w:rsidRPr="007349CF">
        <w:rPr>
          <w:rFonts w:ascii="Arial" w:hAnsi="Arial" w:cs="Arial"/>
          <w:sz w:val="22"/>
          <w:szCs w:val="22"/>
          <w:lang w:val="hr-HR"/>
        </w:rPr>
        <w:t xml:space="preserve"> relevant</w:t>
      </w:r>
      <w:r w:rsidRPr="007349CF">
        <w:rPr>
          <w:rFonts w:ascii="Arial" w:hAnsi="Arial" w:cs="Arial"/>
          <w:sz w:val="22"/>
          <w:szCs w:val="22"/>
          <w:lang w:val="hr-HR"/>
        </w:rPr>
        <w:t>nim standardima i važećim propisima o sprečavanju pranja novca</w:t>
      </w:r>
      <w:r w:rsidR="00CA76B4" w:rsidRPr="007349CF">
        <w:rPr>
          <w:rFonts w:ascii="Arial" w:hAnsi="Arial" w:cs="Arial"/>
          <w:sz w:val="22"/>
          <w:szCs w:val="22"/>
          <w:lang w:val="hr-HR"/>
        </w:rPr>
        <w:t xml:space="preserve">, </w:t>
      </w:r>
      <w:r w:rsidRPr="007349CF">
        <w:rPr>
          <w:rFonts w:ascii="Arial" w:hAnsi="Arial" w:cs="Arial"/>
          <w:sz w:val="22"/>
          <w:szCs w:val="22"/>
          <w:lang w:val="hr-HR"/>
        </w:rPr>
        <w:t>borbe protiv</w:t>
      </w:r>
      <w:r w:rsidR="00CA76B4" w:rsidRPr="007349CF">
        <w:rPr>
          <w:rFonts w:ascii="Arial" w:hAnsi="Arial" w:cs="Arial"/>
          <w:sz w:val="22"/>
          <w:szCs w:val="22"/>
          <w:lang w:val="hr-HR"/>
        </w:rPr>
        <w:t xml:space="preserve"> </w:t>
      </w:r>
      <w:r w:rsidRPr="007349CF">
        <w:rPr>
          <w:rFonts w:ascii="Arial" w:hAnsi="Arial" w:cs="Arial"/>
          <w:sz w:val="22"/>
          <w:szCs w:val="22"/>
          <w:lang w:val="hr-HR"/>
        </w:rPr>
        <w:t>terorizma i poreznih prijevara</w:t>
      </w:r>
      <w:r w:rsidR="00CA76B4" w:rsidRPr="007349CF">
        <w:rPr>
          <w:rFonts w:ascii="Arial" w:hAnsi="Arial" w:cs="Arial"/>
          <w:sz w:val="22"/>
          <w:szCs w:val="22"/>
          <w:lang w:val="hr-HR"/>
        </w:rPr>
        <w:t xml:space="preserve"> </w:t>
      </w:r>
      <w:r w:rsidRPr="007349CF">
        <w:rPr>
          <w:rFonts w:ascii="Arial" w:hAnsi="Arial" w:cs="Arial"/>
          <w:sz w:val="22"/>
          <w:szCs w:val="22"/>
          <w:lang w:val="hr-HR"/>
        </w:rPr>
        <w:t>kojima iste podliježu te ne smiju sklapati niti održavati poslovne odnose</w:t>
      </w:r>
      <w:r w:rsidR="00CA76B4" w:rsidRPr="007349CF">
        <w:rPr>
          <w:rFonts w:ascii="Arial" w:hAnsi="Arial" w:cs="Arial"/>
          <w:sz w:val="22"/>
          <w:szCs w:val="22"/>
          <w:lang w:val="hr-HR"/>
        </w:rPr>
        <w:t xml:space="preserve"> </w:t>
      </w:r>
      <w:r w:rsidRPr="007349CF">
        <w:rPr>
          <w:rFonts w:ascii="Arial" w:hAnsi="Arial" w:cs="Arial"/>
          <w:sz w:val="22"/>
          <w:szCs w:val="22"/>
          <w:lang w:val="hr-HR"/>
        </w:rPr>
        <w:t>sa subjektima koji su osnovani na</w:t>
      </w:r>
      <w:r w:rsidR="00912F3B" w:rsidRPr="007349CF">
        <w:rPr>
          <w:rFonts w:ascii="Arial" w:hAnsi="Arial" w:cs="Arial"/>
          <w:sz w:val="22"/>
          <w:szCs w:val="22"/>
          <w:lang w:val="hr-HR"/>
        </w:rPr>
        <w:t xml:space="preserve"> područjima čije jurisdikcije ne surađuju s </w:t>
      </w:r>
      <w:r w:rsidR="00CA76B4" w:rsidRPr="007349CF">
        <w:rPr>
          <w:rFonts w:ascii="Arial" w:hAnsi="Arial" w:cs="Arial"/>
          <w:sz w:val="22"/>
          <w:szCs w:val="22"/>
          <w:lang w:val="hr-HR"/>
        </w:rPr>
        <w:t>Europ</w:t>
      </w:r>
      <w:r w:rsidR="00912F3B" w:rsidRPr="007349CF">
        <w:rPr>
          <w:rFonts w:ascii="Arial" w:hAnsi="Arial" w:cs="Arial"/>
          <w:sz w:val="22"/>
          <w:szCs w:val="22"/>
          <w:lang w:val="hr-HR"/>
        </w:rPr>
        <w:t>skom</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unijom u vezi primjene međunarodno dogovorenog</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poreznog</w:t>
      </w:r>
      <w:r w:rsidR="00CA76B4" w:rsidRPr="007349CF">
        <w:rPr>
          <w:rFonts w:ascii="Arial" w:hAnsi="Arial" w:cs="Arial"/>
          <w:sz w:val="22"/>
          <w:szCs w:val="22"/>
          <w:lang w:val="hr-HR"/>
        </w:rPr>
        <w:t xml:space="preserve"> standard</w:t>
      </w:r>
      <w:r w:rsidR="00912F3B" w:rsidRPr="007349CF">
        <w:rPr>
          <w:rFonts w:ascii="Arial" w:hAnsi="Arial" w:cs="Arial"/>
          <w:sz w:val="22"/>
          <w:szCs w:val="22"/>
          <w:lang w:val="hr-HR"/>
        </w:rPr>
        <w:t>a</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ili čije porezne prakse se ne pridržavaju Preporuke Komisije od 6. prosinca</w:t>
      </w:r>
      <w:r w:rsidR="00CA76B4" w:rsidRPr="007349CF">
        <w:rPr>
          <w:rFonts w:ascii="Arial" w:hAnsi="Arial" w:cs="Arial"/>
          <w:sz w:val="22"/>
          <w:szCs w:val="22"/>
          <w:lang w:val="hr-HR"/>
        </w:rPr>
        <w:t xml:space="preserve"> 2012</w:t>
      </w:r>
      <w:r w:rsidR="00912F3B" w:rsidRPr="007349CF">
        <w:rPr>
          <w:rFonts w:ascii="Arial" w:hAnsi="Arial" w:cs="Arial"/>
          <w:sz w:val="22"/>
          <w:szCs w:val="22"/>
          <w:lang w:val="hr-HR"/>
        </w:rPr>
        <w:t>.</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u vezi mjera namijenjenih poticanju trećih zemalja na primjenu minimalnih</w:t>
      </w:r>
      <w:r w:rsidR="00CA76B4" w:rsidRPr="007349CF">
        <w:rPr>
          <w:rFonts w:ascii="Arial" w:hAnsi="Arial" w:cs="Arial"/>
          <w:sz w:val="22"/>
          <w:szCs w:val="22"/>
          <w:lang w:val="hr-HR"/>
        </w:rPr>
        <w:t xml:space="preserve"> standard</w:t>
      </w:r>
      <w:r w:rsidR="00912F3B" w:rsidRPr="007349CF">
        <w:rPr>
          <w:rFonts w:ascii="Arial" w:hAnsi="Arial" w:cs="Arial"/>
          <w:sz w:val="22"/>
          <w:szCs w:val="22"/>
          <w:lang w:val="hr-HR"/>
        </w:rPr>
        <w:t>a</w:t>
      </w:r>
      <w:r w:rsidR="00CA76B4" w:rsidRPr="007349CF">
        <w:rPr>
          <w:rFonts w:ascii="Arial" w:hAnsi="Arial" w:cs="Arial"/>
          <w:sz w:val="22"/>
          <w:szCs w:val="22"/>
          <w:lang w:val="hr-HR"/>
        </w:rPr>
        <w:t xml:space="preserve"> </w:t>
      </w:r>
      <w:r w:rsidR="00912F3B" w:rsidRPr="007349CF">
        <w:rPr>
          <w:rFonts w:ascii="Arial" w:hAnsi="Arial" w:cs="Arial"/>
          <w:sz w:val="22"/>
          <w:szCs w:val="22"/>
          <w:lang w:val="hr-HR"/>
        </w:rPr>
        <w:t xml:space="preserve">dobrog upravljanja u poreznim pitanjima </w:t>
      </w:r>
      <w:r w:rsidR="00CA76B4" w:rsidRPr="007349CF">
        <w:rPr>
          <w:rFonts w:ascii="Arial" w:hAnsi="Arial" w:cs="Arial"/>
          <w:sz w:val="22"/>
          <w:szCs w:val="22"/>
          <w:lang w:val="hr-HR"/>
        </w:rPr>
        <w:t>(C(2012)8805).</w:t>
      </w:r>
    </w:p>
    <w:p w14:paraId="619F6006" w14:textId="77777777" w:rsidR="002212EC" w:rsidRPr="007349CF" w:rsidRDefault="00BB442C" w:rsidP="002212EC">
      <w:pPr>
        <w:pStyle w:val="Default"/>
        <w:jc w:val="both"/>
        <w:rPr>
          <w:rFonts w:ascii="Arial" w:hAnsi="Arial" w:cs="Arial"/>
          <w:color w:val="FF0000"/>
          <w:sz w:val="22"/>
          <w:szCs w:val="22"/>
          <w:lang w:val="hr-HR"/>
        </w:rPr>
      </w:pPr>
      <w:r w:rsidRPr="007349CF">
        <w:rPr>
          <w:rFonts w:ascii="Arial" w:hAnsi="Arial" w:cs="Arial"/>
          <w:color w:val="FF0000"/>
          <w:sz w:val="22"/>
          <w:szCs w:val="22"/>
          <w:lang w:val="hr-HR"/>
        </w:rPr>
        <w:t xml:space="preserve"> </w:t>
      </w:r>
    </w:p>
    <w:p w14:paraId="3A33AB42" w14:textId="178F3D4C" w:rsidR="009E68BC" w:rsidRPr="007349CF" w:rsidRDefault="009E68BC" w:rsidP="00B732F7">
      <w:pPr>
        <w:pStyle w:val="Default"/>
        <w:jc w:val="both"/>
        <w:rPr>
          <w:rFonts w:ascii="Arial" w:hAnsi="Arial" w:cs="Arial"/>
          <w:sz w:val="22"/>
          <w:szCs w:val="22"/>
          <w:lang w:val="hr-HR"/>
        </w:rPr>
      </w:pPr>
      <w:r w:rsidRPr="007349CF">
        <w:rPr>
          <w:rFonts w:ascii="Arial" w:hAnsi="Arial" w:cs="Arial"/>
          <w:color w:val="auto"/>
          <w:sz w:val="22"/>
          <w:szCs w:val="22"/>
          <w:lang w:val="hr-HR"/>
        </w:rPr>
        <w:lastRenderedPageBreak/>
        <w:t>U okviru ovog Poziva, primjenjivat će se</w:t>
      </w:r>
      <w:r w:rsidRPr="007349CF">
        <w:rPr>
          <w:rFonts w:ascii="Arial" w:hAnsi="Arial" w:cs="Arial"/>
          <w:b/>
          <w:color w:val="auto"/>
          <w:sz w:val="22"/>
          <w:szCs w:val="22"/>
          <w:lang w:val="hr-HR"/>
        </w:rPr>
        <w:t xml:space="preserve"> kriteriji za isključenje</w:t>
      </w:r>
      <w:r w:rsidRPr="007349CF">
        <w:rPr>
          <w:rFonts w:ascii="Arial" w:hAnsi="Arial" w:cs="Arial"/>
          <w:color w:val="auto"/>
          <w:sz w:val="22"/>
          <w:szCs w:val="22"/>
          <w:lang w:val="hr-HR"/>
        </w:rPr>
        <w:t xml:space="preserve"> određeni člankom 106. Financijske uredbe, uz izmjene temeljem Uredbe (EU, Euratom) br. 2015/1929 što znači da HAMAG-BICRO </w:t>
      </w:r>
      <w:r w:rsidRPr="007349CF">
        <w:rPr>
          <w:rFonts w:ascii="Arial" w:hAnsi="Arial" w:cs="Arial"/>
          <w:sz w:val="22"/>
          <w:szCs w:val="22"/>
          <w:lang w:val="hr-HR"/>
        </w:rPr>
        <w:t xml:space="preserve">ne može odabrati </w:t>
      </w:r>
      <w:r w:rsidR="005C26F0" w:rsidRPr="007349CF">
        <w:rPr>
          <w:rFonts w:ascii="Arial" w:hAnsi="Arial" w:cs="Arial"/>
          <w:sz w:val="22"/>
          <w:szCs w:val="22"/>
          <w:lang w:val="hr-HR"/>
        </w:rPr>
        <w:t xml:space="preserve">prijavitelja </w:t>
      </w:r>
      <w:r w:rsidR="003F03AF" w:rsidRPr="007349CF">
        <w:rPr>
          <w:rFonts w:ascii="Arial" w:hAnsi="Arial" w:cs="Arial"/>
          <w:sz w:val="22"/>
          <w:szCs w:val="22"/>
          <w:lang w:val="hr-HR"/>
        </w:rPr>
        <w:t>- F</w:t>
      </w:r>
      <w:r w:rsidR="00803535" w:rsidRPr="007349CF">
        <w:rPr>
          <w:rFonts w:ascii="Arial" w:hAnsi="Arial" w:cs="Arial"/>
          <w:sz w:val="22"/>
          <w:szCs w:val="22"/>
          <w:lang w:val="hr-HR"/>
        </w:rPr>
        <w:t>inancijsku instituciju koja</w:t>
      </w:r>
      <w:r w:rsidRPr="007349CF">
        <w:rPr>
          <w:rFonts w:ascii="Arial" w:hAnsi="Arial" w:cs="Arial"/>
          <w:sz w:val="22"/>
          <w:szCs w:val="22"/>
          <w:lang w:val="hr-HR"/>
        </w:rPr>
        <w:t xml:space="preserve"> se nalazi u jednoj od situacija opisanih u nastavku, ako HAMAG-BICRO utvrdi da ta situacija može utjecati na n</w:t>
      </w:r>
      <w:r w:rsidR="005C26F0" w:rsidRPr="007349CF">
        <w:rPr>
          <w:rFonts w:ascii="Arial" w:hAnsi="Arial" w:cs="Arial"/>
          <w:sz w:val="22"/>
          <w:szCs w:val="22"/>
          <w:lang w:val="hr-HR"/>
        </w:rPr>
        <w:t>jihovu sposobnost za provedbu financijskog instrumenta</w:t>
      </w:r>
      <w:r w:rsidRPr="007349CF">
        <w:rPr>
          <w:rFonts w:ascii="Arial" w:hAnsi="Arial" w:cs="Arial"/>
          <w:sz w:val="22"/>
          <w:szCs w:val="22"/>
          <w:lang w:val="hr-HR"/>
        </w:rPr>
        <w:t>:</w:t>
      </w:r>
    </w:p>
    <w:p w14:paraId="4C2CFC50" w14:textId="77777777" w:rsidR="00830A62" w:rsidRPr="007349CF" w:rsidRDefault="00830A62" w:rsidP="00B732F7">
      <w:pPr>
        <w:pStyle w:val="Default"/>
        <w:jc w:val="both"/>
        <w:rPr>
          <w:rFonts w:ascii="Arial" w:hAnsi="Arial" w:cs="Arial"/>
          <w:sz w:val="22"/>
          <w:szCs w:val="22"/>
          <w:lang w:val="hr-HR"/>
        </w:rPr>
      </w:pPr>
    </w:p>
    <w:p w14:paraId="74D85C3B" w14:textId="21B694F8" w:rsidR="00830A62" w:rsidRPr="007349CF" w:rsidRDefault="00830A62" w:rsidP="00595C7D">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ako je Financijska institucija u stečaju, u postupku u slučaju nesolventnosti ili u postupku likvidacije, ako njegovom imovinom upravlja stečajni upravitelj ili sud, ako je u nagodbi s vjerovnicima, ako su mu poslovne aktivnosti suspendirane ili ako je u bilo kakvoj istovrsnoj situaciji koja proizlazi iz sličnog postupka predviđenog nacionalnim zakonima ili drugim propisima;</w:t>
      </w:r>
    </w:p>
    <w:p w14:paraId="542A57B4" w14:textId="77777777" w:rsidR="00830A62" w:rsidRPr="007349CF" w:rsidRDefault="00830A62" w:rsidP="00830A62">
      <w:pPr>
        <w:pStyle w:val="Default"/>
        <w:jc w:val="both"/>
        <w:rPr>
          <w:rFonts w:ascii="Arial" w:hAnsi="Arial" w:cs="Arial"/>
          <w:sz w:val="22"/>
          <w:szCs w:val="22"/>
          <w:lang w:val="hr-HR"/>
        </w:rPr>
      </w:pPr>
    </w:p>
    <w:p w14:paraId="4F1882EC" w14:textId="4F8836FB" w:rsidR="00830A62" w:rsidRPr="007349CF" w:rsidRDefault="00830A62" w:rsidP="00830A62">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 xml:space="preserve">ako je konačnom presudom ili konačnom upravnom odlukom utvrđeno da Financijska institucija krši svoje obveze u vezi s plaćanjem poreza ili doprinosa za socijalno osiguranje u skladu s pravom zemlje u kojoj ima poslovni </w:t>
      </w:r>
      <w:proofErr w:type="spellStart"/>
      <w:r w:rsidRPr="007349CF">
        <w:rPr>
          <w:rFonts w:ascii="Arial" w:hAnsi="Arial" w:cs="Arial"/>
          <w:sz w:val="22"/>
          <w:szCs w:val="22"/>
          <w:lang w:val="hr-HR"/>
        </w:rPr>
        <w:t>nastan</w:t>
      </w:r>
      <w:proofErr w:type="spellEnd"/>
      <w:r w:rsidRPr="007349CF">
        <w:rPr>
          <w:rFonts w:ascii="Arial" w:hAnsi="Arial" w:cs="Arial"/>
          <w:sz w:val="22"/>
          <w:szCs w:val="22"/>
          <w:lang w:val="hr-HR"/>
        </w:rPr>
        <w:t>, zemlje u kojoj se nalazi javni naručitelj ili zemlje u kojoj se izvršava ugovor</w:t>
      </w:r>
    </w:p>
    <w:p w14:paraId="749D07A1" w14:textId="6B259BC5" w:rsidR="00595C7D" w:rsidRPr="007349CF" w:rsidRDefault="00830A62" w:rsidP="00830A62">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ako je konačnom presudom ili konačnom upravnom odlukom utvrđeno da je/su Financijska institucija i/ili osoba ovlaštena za zastupanje, donošenje odluka i kontrole nad istom, kriva za tešku povredu dužnosti zbog kršenja primjenjivih zakona ili drugih propisa ili etičkih normi profesije kojoj Financijska institucija pripada ili zbog protupravnog postupanja koje utječe na njegovu profesionalnu vjerodostojnost u slučaju da se takvim postupanjem pokazuje protuzakonita namjera ili gruba nepažnja, uključujući posebno bilo koje od sljedećih postupanja: i. prijevarno ili nesavjesno lažno predstavljanje podataka potrebnih za provjeru nepostojanja osnova za isključenje ili ispunjenja kriterija za odabir ili prilikom izvršenja ugovora; ii. dogovaranje s drugim gospodarskim subjektima radi narušavanja tržišnog natjecanja; iii. kršenje prava intelektualnog vlasništva; iv. pokušaj da se utječe na proces odlučivanja javnog naručitelja tijekom postupka nabave; v. pokušaj da se dobiju povjerljive informacije koje bi mu mogle omogućiti nepoštenu prednost u postupku nabave;</w:t>
      </w:r>
    </w:p>
    <w:p w14:paraId="6B3DDE16" w14:textId="47B1E3C5" w:rsidR="009E68BC" w:rsidRPr="007349CF" w:rsidRDefault="00595C7D" w:rsidP="009E68BC">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 xml:space="preserve">ako je konačnom presudom utvrđeno da je Financijska institucija kriva za bilo što od sljedećeg: i. prijevaru u smislu Članka 1. Konvencije o zaštiti financijskih interesa Europskih zajednica, sastavljene Aktom Vijeća od 26. srpnja 1995. (*); ii. korupciju kako je definirana u Članku 3. Konvencije o borbi protiv korupcije koja uključuje dužnosnike Europskih zajednica ili dužnosnike država članica Europske unije, sastavljene Aktom Vijeća od 26. svibnja 1997. (**), i Članku 2. stavku 1. Okvirne odluke Vijeća 2003/568/PUP (***), kao i korupciju kako je definirana u pravu zemlje u kojoj se nalazi javni naručitelj, zemlje u kojoj gospodarski subjekt ima poslovni </w:t>
      </w:r>
      <w:proofErr w:type="spellStart"/>
      <w:r w:rsidRPr="007349CF">
        <w:rPr>
          <w:rFonts w:ascii="Arial" w:hAnsi="Arial" w:cs="Arial"/>
          <w:sz w:val="22"/>
          <w:szCs w:val="22"/>
          <w:lang w:val="hr-HR"/>
        </w:rPr>
        <w:t>nastan</w:t>
      </w:r>
      <w:proofErr w:type="spellEnd"/>
      <w:r w:rsidRPr="007349CF">
        <w:rPr>
          <w:rFonts w:ascii="Arial" w:hAnsi="Arial" w:cs="Arial"/>
          <w:sz w:val="22"/>
          <w:szCs w:val="22"/>
          <w:lang w:val="hr-HR"/>
        </w:rPr>
        <w:t xml:space="preserve"> ili zemlje u kojoj se izvršava ugovor; iii. sudjelovanje u zločinačkoj organizaciji, kako je definirano u Članku 2. Okvirne odluke Vijeća 2008/841/PUP (****); iv. pranje novca ili financiranje terorizma, kako je definirano u Članku 1. Direktive 2005/60/EZ Europskog parlamenta i Vijeća (*****); v. kaznena djela terorizma ili kaznena djela povezana s terorističkim aktivnostima, kako su definirana u Članku 1. odnosno Članku 3. Okvirne odluke Vijeća 2002/475/PUP (******), ili poticanje, pomaganje, potpora ili pokušaj počinjenja takvih kaznenih djela, kako je navedeno u Članku 4. te odluke; vi. dječji rad i druge oblike trgovanja </w:t>
      </w:r>
      <w:r w:rsidRPr="007349CF">
        <w:rPr>
          <w:rFonts w:ascii="Arial" w:hAnsi="Arial" w:cs="Arial"/>
          <w:sz w:val="22"/>
          <w:szCs w:val="22"/>
          <w:lang w:val="hr-HR"/>
        </w:rPr>
        <w:lastRenderedPageBreak/>
        <w:t>ljudima, kako je definirano u Članku 2. Direktive 2011/36/EU Europskog parlamenta i Vijeća (*******)</w:t>
      </w:r>
      <w:r w:rsidRPr="007349CF">
        <w:rPr>
          <w:rStyle w:val="Referencafusnote"/>
          <w:rFonts w:ascii="Arial" w:hAnsi="Arial" w:cs="Arial"/>
          <w:sz w:val="22"/>
          <w:szCs w:val="22"/>
          <w:lang w:val="hr-HR"/>
        </w:rPr>
        <w:footnoteReference w:id="1"/>
      </w:r>
      <w:r w:rsidRPr="007349CF">
        <w:rPr>
          <w:rFonts w:ascii="Arial" w:hAnsi="Arial" w:cs="Arial"/>
          <w:sz w:val="22"/>
          <w:szCs w:val="22"/>
          <w:lang w:val="hr-HR"/>
        </w:rPr>
        <w:t>;</w:t>
      </w:r>
    </w:p>
    <w:p w14:paraId="5FDE02A6" w14:textId="77777777" w:rsidR="009E68BC" w:rsidRPr="007349CF" w:rsidRDefault="009E68BC" w:rsidP="00595C7D">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navedeni su u središnjoj bazi podataka o isključenjima koju je uspostavila i koju vodi EK prema Uredbi Komisije (EZ, E</w:t>
      </w:r>
      <w:r w:rsidR="00803535" w:rsidRPr="007349CF">
        <w:rPr>
          <w:rFonts w:ascii="Arial" w:hAnsi="Arial" w:cs="Arial"/>
          <w:sz w:val="22"/>
          <w:szCs w:val="22"/>
          <w:lang w:val="hr-HR"/>
        </w:rPr>
        <w:t>uratom</w:t>
      </w:r>
      <w:r w:rsidRPr="007349CF">
        <w:rPr>
          <w:rFonts w:ascii="Arial" w:hAnsi="Arial" w:cs="Arial"/>
          <w:sz w:val="22"/>
          <w:szCs w:val="22"/>
          <w:lang w:val="hr-HR"/>
        </w:rPr>
        <w:t>) br. 1302/2008 od 17. prosinca 2008. o središnjoj bazi podataka o isključenjima;</w:t>
      </w:r>
    </w:p>
    <w:p w14:paraId="63188826" w14:textId="77777777" w:rsidR="009E68BC" w:rsidRPr="007349CF" w:rsidRDefault="009E68BC" w:rsidP="00595C7D">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osnovani su na državnim područjima čije nadležnosti ne surađuju s EU u vezi s primjenom međunarodno dogovorenih poreznih standarda ili u svojoj poreznoj praksi ne poštuju načela Preporuke EK od 6. prosinca 2012. o mjerama kojima je cilj poticati treće zemlje na primjenu minimalnih standarda dobrog upravljanja u poreznim stvarima (C(2012)8805);</w:t>
      </w:r>
    </w:p>
    <w:p w14:paraId="15D27FBC" w14:textId="60FABEB9" w:rsidR="009E68BC" w:rsidRPr="007349CF" w:rsidRDefault="009E68BC" w:rsidP="00595C7D">
      <w:pPr>
        <w:pStyle w:val="Default"/>
        <w:numPr>
          <w:ilvl w:val="0"/>
          <w:numId w:val="20"/>
        </w:numPr>
        <w:jc w:val="both"/>
        <w:rPr>
          <w:rFonts w:ascii="Arial" w:hAnsi="Arial" w:cs="Arial"/>
          <w:sz w:val="22"/>
          <w:szCs w:val="22"/>
          <w:lang w:val="hr-HR"/>
        </w:rPr>
      </w:pPr>
      <w:r w:rsidRPr="007349CF">
        <w:rPr>
          <w:rFonts w:ascii="Arial" w:hAnsi="Arial" w:cs="Arial"/>
          <w:sz w:val="22"/>
          <w:szCs w:val="22"/>
          <w:lang w:val="hr-HR"/>
        </w:rPr>
        <w:t xml:space="preserve">ako njihova poslovna aktivnost spada u bilo koji od tzv. ograničenih sektora </w:t>
      </w:r>
      <w:r w:rsidR="00D96638" w:rsidRPr="007349CF">
        <w:rPr>
          <w:rFonts w:ascii="Arial" w:hAnsi="Arial" w:cs="Arial"/>
          <w:sz w:val="22"/>
          <w:szCs w:val="22"/>
          <w:lang w:val="hr-HR"/>
        </w:rPr>
        <w:t>definiranih Programom</w:t>
      </w:r>
    </w:p>
    <w:p w14:paraId="7A0894DE" w14:textId="77777777" w:rsidR="00595C7D" w:rsidRPr="007349CF" w:rsidRDefault="00595C7D" w:rsidP="00595C7D">
      <w:pPr>
        <w:pStyle w:val="Default"/>
        <w:jc w:val="both"/>
        <w:rPr>
          <w:rFonts w:ascii="Arial" w:hAnsi="Arial" w:cs="Arial"/>
          <w:sz w:val="22"/>
          <w:szCs w:val="22"/>
          <w:lang w:val="hr-HR"/>
        </w:rPr>
      </w:pPr>
    </w:p>
    <w:p w14:paraId="03D72214" w14:textId="7A75E42D" w:rsidR="00595C7D" w:rsidRPr="007349CF" w:rsidRDefault="00595C7D" w:rsidP="00B732F7">
      <w:pPr>
        <w:pStyle w:val="Default"/>
        <w:jc w:val="both"/>
        <w:rPr>
          <w:rFonts w:ascii="Arial" w:hAnsi="Arial" w:cs="Arial"/>
          <w:sz w:val="22"/>
          <w:szCs w:val="22"/>
          <w:lang w:val="hr-HR"/>
        </w:rPr>
      </w:pPr>
      <w:r w:rsidRPr="007349CF">
        <w:rPr>
          <w:rFonts w:ascii="Arial" w:hAnsi="Arial" w:cs="Arial"/>
          <w:sz w:val="22"/>
          <w:szCs w:val="22"/>
          <w:lang w:val="hr-HR"/>
        </w:rPr>
        <w:t>Točke od (c) do (d) ne primjenjuju se ako ponuditelji mogu dokazati da su donesene odgovarajuće mjere protiv osoba ovlaštenih za zastupanje, odlučivanje ili kontrolu nad njima, na koje se primjenjuje odluka iz točaka (c) ili (d).</w:t>
      </w:r>
    </w:p>
    <w:p w14:paraId="6F42FAFB" w14:textId="77777777" w:rsidR="00595C7D" w:rsidRPr="007349CF" w:rsidRDefault="00595C7D" w:rsidP="00B732F7">
      <w:pPr>
        <w:pStyle w:val="Default"/>
        <w:jc w:val="both"/>
        <w:rPr>
          <w:rFonts w:ascii="Arial" w:hAnsi="Arial" w:cs="Arial"/>
          <w:sz w:val="22"/>
          <w:szCs w:val="22"/>
          <w:lang w:val="hr-HR"/>
        </w:rPr>
      </w:pPr>
    </w:p>
    <w:p w14:paraId="477B0E76" w14:textId="34EB7AED" w:rsidR="009E68BC" w:rsidRPr="007349CF" w:rsidRDefault="009E68BC" w:rsidP="00B732F7">
      <w:pPr>
        <w:pStyle w:val="Default"/>
        <w:jc w:val="both"/>
        <w:rPr>
          <w:rFonts w:ascii="Arial" w:hAnsi="Arial" w:cs="Arial"/>
          <w:sz w:val="22"/>
          <w:szCs w:val="22"/>
          <w:lang w:val="hr-HR"/>
        </w:rPr>
      </w:pPr>
      <w:r w:rsidRPr="007349CF">
        <w:rPr>
          <w:rFonts w:ascii="Arial" w:hAnsi="Arial" w:cs="Arial"/>
          <w:sz w:val="22"/>
          <w:szCs w:val="22"/>
          <w:lang w:val="hr-HR"/>
        </w:rPr>
        <w:t xml:space="preserve">HAMAG-BICRO ne može odabrati ponuditelja za </w:t>
      </w:r>
      <w:r w:rsidR="003F03AF" w:rsidRPr="007349CF">
        <w:rPr>
          <w:rFonts w:ascii="Arial" w:hAnsi="Arial" w:cs="Arial"/>
          <w:sz w:val="22"/>
          <w:szCs w:val="22"/>
          <w:lang w:val="hr-HR"/>
        </w:rPr>
        <w:t>F</w:t>
      </w:r>
      <w:r w:rsidRPr="007349CF">
        <w:rPr>
          <w:rFonts w:ascii="Arial" w:hAnsi="Arial" w:cs="Arial"/>
          <w:sz w:val="22"/>
          <w:szCs w:val="22"/>
          <w:lang w:val="hr-HR"/>
        </w:rPr>
        <w:t>inancijsku instituciju osnovanu po propisima, ali koja posluje s entitetima iz država čije pravosuđe ne surađuje s EU s obzirom na primjenu međunarodno dogovorenih poreznih standarda Organizacije za ekonomsku suradnju i razvoj (OECD) i njenim forumom o transparentnosti i razmjeni podataka u porezne svrhe.</w:t>
      </w:r>
    </w:p>
    <w:p w14:paraId="56E6A36D" w14:textId="77777777" w:rsidR="00E34A98" w:rsidRPr="007349CF" w:rsidRDefault="00E34A98" w:rsidP="00E34A98">
      <w:pPr>
        <w:pStyle w:val="Default"/>
        <w:jc w:val="both"/>
        <w:rPr>
          <w:rFonts w:ascii="Arial" w:hAnsi="Arial" w:cs="Arial"/>
          <w:color w:val="FF0000"/>
          <w:sz w:val="22"/>
          <w:szCs w:val="22"/>
          <w:lang w:val="hr-HR"/>
        </w:rPr>
      </w:pPr>
    </w:p>
    <w:p w14:paraId="529A45AD" w14:textId="658A1B3E" w:rsidR="00041148" w:rsidRPr="007349CF" w:rsidRDefault="009447F6" w:rsidP="007D63E2">
      <w:pPr>
        <w:pStyle w:val="Default"/>
        <w:jc w:val="both"/>
        <w:rPr>
          <w:rFonts w:ascii="Arial" w:hAnsi="Arial" w:cs="Arial"/>
          <w:sz w:val="22"/>
          <w:szCs w:val="22"/>
          <w:lang w:val="hr-HR"/>
        </w:rPr>
      </w:pPr>
      <w:r w:rsidRPr="007349CF">
        <w:rPr>
          <w:rFonts w:ascii="Arial" w:hAnsi="Arial" w:cs="Arial"/>
          <w:sz w:val="22"/>
          <w:szCs w:val="22"/>
          <w:lang w:val="hr-HR"/>
        </w:rPr>
        <w:t>Prijavitelji</w:t>
      </w:r>
      <w:r w:rsidR="002212EC" w:rsidRPr="007349CF">
        <w:rPr>
          <w:rFonts w:ascii="Arial" w:hAnsi="Arial" w:cs="Arial"/>
          <w:sz w:val="22"/>
          <w:szCs w:val="22"/>
          <w:lang w:val="hr-HR"/>
        </w:rPr>
        <w:t xml:space="preserve"> </w:t>
      </w:r>
      <w:r w:rsidR="00D36712" w:rsidRPr="007349CF">
        <w:rPr>
          <w:rFonts w:ascii="Arial" w:hAnsi="Arial" w:cs="Arial"/>
          <w:sz w:val="22"/>
          <w:szCs w:val="22"/>
          <w:lang w:val="hr-HR"/>
        </w:rPr>
        <w:t>mora</w:t>
      </w:r>
      <w:r w:rsidR="005C26F0" w:rsidRPr="007349CF">
        <w:rPr>
          <w:rFonts w:ascii="Arial" w:hAnsi="Arial" w:cs="Arial"/>
          <w:sz w:val="22"/>
          <w:szCs w:val="22"/>
          <w:lang w:val="hr-HR"/>
        </w:rPr>
        <w:t>ju</w:t>
      </w:r>
      <w:r w:rsidR="00D36712" w:rsidRPr="007349CF">
        <w:rPr>
          <w:rFonts w:ascii="Arial" w:hAnsi="Arial" w:cs="Arial"/>
          <w:sz w:val="22"/>
          <w:szCs w:val="22"/>
          <w:lang w:val="hr-HR"/>
        </w:rPr>
        <w:t xml:space="preserve"> </w:t>
      </w:r>
      <w:r w:rsidR="007D63E2" w:rsidRPr="007349CF">
        <w:rPr>
          <w:rFonts w:ascii="Arial" w:hAnsi="Arial" w:cs="Arial"/>
          <w:sz w:val="22"/>
          <w:szCs w:val="22"/>
          <w:lang w:val="hr-HR"/>
        </w:rPr>
        <w:t xml:space="preserve">pristati na </w:t>
      </w:r>
      <w:r w:rsidR="00834DD0" w:rsidRPr="007349CF">
        <w:rPr>
          <w:rFonts w:ascii="Arial" w:hAnsi="Arial" w:cs="Arial"/>
          <w:sz w:val="22"/>
          <w:szCs w:val="22"/>
          <w:lang w:val="hr-HR"/>
        </w:rPr>
        <w:t xml:space="preserve">reviziju </w:t>
      </w:r>
      <w:r w:rsidR="007D63E2" w:rsidRPr="007349CF">
        <w:rPr>
          <w:rFonts w:ascii="Arial" w:hAnsi="Arial" w:cs="Arial"/>
          <w:sz w:val="22"/>
          <w:szCs w:val="22"/>
          <w:lang w:val="hr-HR"/>
        </w:rPr>
        <w:t>od strane</w:t>
      </w:r>
      <w:r w:rsidR="00834DD0" w:rsidRPr="007349CF">
        <w:rPr>
          <w:rFonts w:ascii="Arial" w:hAnsi="Arial" w:cs="Arial"/>
          <w:sz w:val="22"/>
          <w:szCs w:val="22"/>
          <w:lang w:val="hr-HR"/>
        </w:rPr>
        <w:t xml:space="preserve"> revizorsk</w:t>
      </w:r>
      <w:r w:rsidR="007D63E2" w:rsidRPr="007349CF">
        <w:rPr>
          <w:rFonts w:ascii="Arial" w:hAnsi="Arial" w:cs="Arial"/>
          <w:sz w:val="22"/>
          <w:szCs w:val="22"/>
          <w:lang w:val="hr-HR"/>
        </w:rPr>
        <w:t>ih</w:t>
      </w:r>
      <w:r w:rsidR="00834DD0" w:rsidRPr="007349CF">
        <w:rPr>
          <w:rFonts w:ascii="Arial" w:hAnsi="Arial" w:cs="Arial"/>
          <w:sz w:val="22"/>
          <w:szCs w:val="22"/>
          <w:lang w:val="hr-HR"/>
        </w:rPr>
        <w:t xml:space="preserve"> tijela države članice</w:t>
      </w:r>
      <w:r w:rsidR="00D97903" w:rsidRPr="007349CF">
        <w:rPr>
          <w:rFonts w:ascii="Arial" w:hAnsi="Arial" w:cs="Arial"/>
          <w:sz w:val="22"/>
          <w:szCs w:val="22"/>
          <w:lang w:val="hr-HR"/>
        </w:rPr>
        <w:t xml:space="preserve">, </w:t>
      </w:r>
      <w:r w:rsidR="00834DD0" w:rsidRPr="007349CF">
        <w:rPr>
          <w:rFonts w:ascii="Arial" w:hAnsi="Arial" w:cs="Arial"/>
          <w:sz w:val="22"/>
          <w:szCs w:val="22"/>
          <w:lang w:val="hr-HR"/>
        </w:rPr>
        <w:t>Komisij</w:t>
      </w:r>
      <w:r w:rsidR="007D63E2" w:rsidRPr="007349CF">
        <w:rPr>
          <w:rFonts w:ascii="Arial" w:hAnsi="Arial" w:cs="Arial"/>
          <w:sz w:val="22"/>
          <w:szCs w:val="22"/>
          <w:lang w:val="hr-HR"/>
        </w:rPr>
        <w:t>e</w:t>
      </w:r>
      <w:r w:rsidR="00834DD0" w:rsidRPr="007349CF">
        <w:rPr>
          <w:rFonts w:ascii="Arial" w:hAnsi="Arial" w:cs="Arial"/>
          <w:sz w:val="22"/>
          <w:szCs w:val="22"/>
          <w:lang w:val="hr-HR"/>
        </w:rPr>
        <w:t xml:space="preserve"> i </w:t>
      </w:r>
      <w:r w:rsidR="00D97903" w:rsidRPr="007349CF">
        <w:rPr>
          <w:rFonts w:ascii="Arial" w:hAnsi="Arial" w:cs="Arial"/>
          <w:sz w:val="22"/>
          <w:szCs w:val="22"/>
          <w:lang w:val="hr-HR"/>
        </w:rPr>
        <w:t>Europ</w:t>
      </w:r>
      <w:r w:rsidR="00834DD0" w:rsidRPr="007349CF">
        <w:rPr>
          <w:rFonts w:ascii="Arial" w:hAnsi="Arial" w:cs="Arial"/>
          <w:sz w:val="22"/>
          <w:szCs w:val="22"/>
          <w:lang w:val="hr-HR"/>
        </w:rPr>
        <w:t>sk</w:t>
      </w:r>
      <w:r w:rsidR="007D63E2" w:rsidRPr="007349CF">
        <w:rPr>
          <w:rFonts w:ascii="Arial" w:hAnsi="Arial" w:cs="Arial"/>
          <w:sz w:val="22"/>
          <w:szCs w:val="22"/>
          <w:lang w:val="hr-HR"/>
        </w:rPr>
        <w:t>og</w:t>
      </w:r>
      <w:r w:rsidR="00834DD0" w:rsidRPr="007349CF">
        <w:rPr>
          <w:rFonts w:ascii="Arial" w:hAnsi="Arial" w:cs="Arial"/>
          <w:sz w:val="22"/>
          <w:szCs w:val="22"/>
          <w:lang w:val="hr-HR"/>
        </w:rPr>
        <w:t xml:space="preserve"> revizorsk</w:t>
      </w:r>
      <w:r w:rsidR="007D63E2" w:rsidRPr="007349CF">
        <w:rPr>
          <w:rFonts w:ascii="Arial" w:hAnsi="Arial" w:cs="Arial"/>
          <w:sz w:val="22"/>
          <w:szCs w:val="22"/>
          <w:lang w:val="hr-HR"/>
        </w:rPr>
        <w:t>og</w:t>
      </w:r>
      <w:r w:rsidR="00834DD0" w:rsidRPr="007349CF">
        <w:rPr>
          <w:rFonts w:ascii="Arial" w:hAnsi="Arial" w:cs="Arial"/>
          <w:sz w:val="22"/>
          <w:szCs w:val="22"/>
          <w:lang w:val="hr-HR"/>
        </w:rPr>
        <w:t xml:space="preserve"> sud</w:t>
      </w:r>
      <w:r w:rsidR="007D63E2" w:rsidRPr="007349CF">
        <w:rPr>
          <w:rFonts w:ascii="Arial" w:hAnsi="Arial" w:cs="Arial"/>
          <w:sz w:val="22"/>
          <w:szCs w:val="22"/>
          <w:lang w:val="hr-HR"/>
        </w:rPr>
        <w:t>a</w:t>
      </w:r>
      <w:r w:rsidR="00D97903" w:rsidRPr="007349CF">
        <w:rPr>
          <w:rFonts w:ascii="Arial" w:hAnsi="Arial" w:cs="Arial"/>
          <w:sz w:val="22"/>
          <w:szCs w:val="22"/>
          <w:lang w:val="hr-HR"/>
        </w:rPr>
        <w:t xml:space="preserve">. </w:t>
      </w:r>
    </w:p>
    <w:p w14:paraId="684ED4BC" w14:textId="77777777" w:rsidR="007D63E2" w:rsidRPr="007349CF" w:rsidRDefault="007D63E2" w:rsidP="007D63E2">
      <w:pPr>
        <w:pStyle w:val="Default"/>
        <w:jc w:val="both"/>
        <w:rPr>
          <w:rFonts w:ascii="Arial" w:hAnsi="Arial" w:cs="Arial"/>
          <w:sz w:val="22"/>
          <w:szCs w:val="22"/>
          <w:lang w:val="hr-HR"/>
        </w:rPr>
      </w:pPr>
    </w:p>
    <w:p w14:paraId="036FE1A8" w14:textId="77777777" w:rsidR="00CA76B4" w:rsidRPr="007349CF" w:rsidRDefault="00EE2BDF" w:rsidP="00CA76B4">
      <w:pPr>
        <w:pStyle w:val="Default"/>
        <w:rPr>
          <w:rFonts w:ascii="Arial" w:hAnsi="Arial" w:cs="Arial"/>
          <w:b/>
          <w:sz w:val="22"/>
          <w:szCs w:val="22"/>
          <w:lang w:val="hr-HR"/>
        </w:rPr>
      </w:pPr>
      <w:r w:rsidRPr="007349CF">
        <w:rPr>
          <w:rFonts w:ascii="Arial" w:hAnsi="Arial" w:cs="Arial"/>
          <w:b/>
          <w:sz w:val="22"/>
          <w:szCs w:val="22"/>
          <w:lang w:val="hr-HR"/>
        </w:rPr>
        <w:t xml:space="preserve">3. </w:t>
      </w:r>
      <w:r w:rsidR="002410D6" w:rsidRPr="007349CF">
        <w:rPr>
          <w:rFonts w:ascii="Arial" w:hAnsi="Arial" w:cs="Arial"/>
          <w:b/>
          <w:sz w:val="22"/>
          <w:szCs w:val="22"/>
          <w:lang w:val="hr-HR"/>
        </w:rPr>
        <w:tab/>
      </w:r>
      <w:r w:rsidR="00D36712" w:rsidRPr="007349CF">
        <w:rPr>
          <w:rFonts w:ascii="Arial" w:hAnsi="Arial" w:cs="Arial"/>
          <w:b/>
          <w:sz w:val="22"/>
          <w:szCs w:val="22"/>
          <w:lang w:val="hr-HR"/>
        </w:rPr>
        <w:t>Jezik i mjerodavni zakoni</w:t>
      </w:r>
    </w:p>
    <w:p w14:paraId="76309B68" w14:textId="77777777" w:rsidR="00EE2BDF" w:rsidRPr="007349CF" w:rsidRDefault="00EE2BDF" w:rsidP="00CA76B4">
      <w:pPr>
        <w:pStyle w:val="Default"/>
        <w:rPr>
          <w:rFonts w:ascii="Arial" w:hAnsi="Arial" w:cs="Arial"/>
          <w:sz w:val="22"/>
          <w:szCs w:val="22"/>
          <w:lang w:val="hr-HR"/>
        </w:rPr>
      </w:pPr>
    </w:p>
    <w:p w14:paraId="41C6D985" w14:textId="77777777" w:rsidR="00CA76B4" w:rsidRPr="007349CF" w:rsidRDefault="00D36712" w:rsidP="002212EC">
      <w:pPr>
        <w:pStyle w:val="Default"/>
        <w:jc w:val="both"/>
        <w:rPr>
          <w:rFonts w:ascii="Arial" w:hAnsi="Arial" w:cs="Arial"/>
          <w:sz w:val="22"/>
          <w:szCs w:val="22"/>
          <w:lang w:val="hr-HR"/>
        </w:rPr>
      </w:pPr>
      <w:r w:rsidRPr="007349CF">
        <w:rPr>
          <w:rFonts w:ascii="Arial" w:hAnsi="Arial" w:cs="Arial"/>
          <w:sz w:val="22"/>
          <w:szCs w:val="22"/>
          <w:lang w:val="hr-HR"/>
        </w:rPr>
        <w:t>Iskaz interesa u obrascu</w:t>
      </w:r>
      <w:r w:rsidR="001E754D" w:rsidRPr="007349CF">
        <w:rPr>
          <w:rFonts w:ascii="Arial" w:hAnsi="Arial" w:cs="Arial"/>
          <w:sz w:val="22"/>
          <w:szCs w:val="22"/>
          <w:lang w:val="hr-HR"/>
        </w:rPr>
        <w:t xml:space="preserve"> </w:t>
      </w:r>
      <w:r w:rsidRPr="007349CF">
        <w:rPr>
          <w:rFonts w:ascii="Arial" w:hAnsi="Arial" w:cs="Arial"/>
          <w:sz w:val="22"/>
          <w:szCs w:val="22"/>
          <w:lang w:val="hr-HR"/>
        </w:rPr>
        <w:t>priloženom u</w:t>
      </w:r>
      <w:r w:rsidR="00CA76B4" w:rsidRPr="007349CF">
        <w:rPr>
          <w:rFonts w:ascii="Arial" w:hAnsi="Arial" w:cs="Arial"/>
          <w:sz w:val="22"/>
          <w:szCs w:val="22"/>
          <w:lang w:val="hr-HR"/>
        </w:rPr>
        <w:t xml:space="preserve"> </w:t>
      </w:r>
      <w:r w:rsidR="009447F6" w:rsidRPr="007349CF">
        <w:rPr>
          <w:rFonts w:ascii="Arial" w:hAnsi="Arial" w:cs="Arial"/>
          <w:sz w:val="22"/>
          <w:szCs w:val="22"/>
          <w:lang w:val="hr-HR"/>
        </w:rPr>
        <w:t>Prilog</w:t>
      </w:r>
      <w:r w:rsidRPr="007349CF">
        <w:rPr>
          <w:rFonts w:ascii="Arial" w:hAnsi="Arial" w:cs="Arial"/>
          <w:sz w:val="22"/>
          <w:szCs w:val="22"/>
          <w:lang w:val="hr-HR"/>
        </w:rPr>
        <w:t>u</w:t>
      </w:r>
      <w:r w:rsidR="009447F6" w:rsidRPr="007349CF">
        <w:rPr>
          <w:rFonts w:ascii="Arial" w:hAnsi="Arial" w:cs="Arial"/>
          <w:sz w:val="22"/>
          <w:szCs w:val="22"/>
          <w:lang w:val="hr-HR"/>
        </w:rPr>
        <w:t xml:space="preserve"> </w:t>
      </w:r>
      <w:r w:rsidR="001E754D" w:rsidRPr="007349CF">
        <w:rPr>
          <w:rFonts w:ascii="Arial" w:hAnsi="Arial" w:cs="Arial"/>
          <w:sz w:val="22"/>
          <w:szCs w:val="22"/>
          <w:lang w:val="hr-HR"/>
        </w:rPr>
        <w:t xml:space="preserve">III </w:t>
      </w:r>
      <w:r w:rsidRPr="007349CF">
        <w:rPr>
          <w:rFonts w:ascii="Arial" w:hAnsi="Arial" w:cs="Arial"/>
          <w:sz w:val="22"/>
          <w:szCs w:val="22"/>
          <w:lang w:val="hr-HR"/>
        </w:rPr>
        <w:t>ovog</w:t>
      </w:r>
      <w:r w:rsidR="001E754D"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Pr="007349CF">
        <w:rPr>
          <w:rFonts w:ascii="Arial" w:hAnsi="Arial" w:cs="Arial"/>
          <w:sz w:val="22"/>
          <w:szCs w:val="22"/>
          <w:lang w:val="hr-HR"/>
        </w:rPr>
        <w:t>a mora se pripremiti na hrvatskom jeziku</w:t>
      </w:r>
      <w:r w:rsidR="00CA76B4" w:rsidRPr="007349CF">
        <w:rPr>
          <w:rFonts w:ascii="Arial" w:hAnsi="Arial" w:cs="Arial"/>
          <w:sz w:val="22"/>
          <w:szCs w:val="22"/>
          <w:lang w:val="hr-HR"/>
        </w:rPr>
        <w:t>.</w:t>
      </w:r>
      <w:r w:rsidR="008435D0" w:rsidRPr="007349CF">
        <w:rPr>
          <w:rFonts w:ascii="Arial" w:hAnsi="Arial" w:cs="Arial"/>
          <w:sz w:val="22"/>
          <w:szCs w:val="22"/>
          <w:lang w:val="hr-HR"/>
        </w:rPr>
        <w:t xml:space="preserve"> </w:t>
      </w:r>
      <w:r w:rsidRPr="007349CF">
        <w:rPr>
          <w:rFonts w:ascii="Arial" w:hAnsi="Arial" w:cs="Arial"/>
          <w:sz w:val="22"/>
          <w:szCs w:val="22"/>
          <w:lang w:val="hr-HR"/>
        </w:rPr>
        <w:t xml:space="preserve">Uvjeti sporazuma o suradnji je na hrvatskom jeziku te su mjerodavni zakoni RH. </w:t>
      </w:r>
    </w:p>
    <w:p w14:paraId="04939D29" w14:textId="77777777" w:rsidR="00EE2BDF" w:rsidRPr="007349CF" w:rsidRDefault="00EE2BDF" w:rsidP="00CA76B4">
      <w:pPr>
        <w:pStyle w:val="Default"/>
        <w:rPr>
          <w:rFonts w:ascii="Arial" w:hAnsi="Arial" w:cs="Arial"/>
          <w:b/>
          <w:sz w:val="22"/>
          <w:szCs w:val="22"/>
          <w:lang w:val="hr-HR"/>
        </w:rPr>
      </w:pPr>
    </w:p>
    <w:p w14:paraId="2E00D934" w14:textId="77777777" w:rsidR="00CA76B4" w:rsidRPr="007349CF" w:rsidRDefault="00CA76B4" w:rsidP="00CA76B4">
      <w:pPr>
        <w:pStyle w:val="Default"/>
        <w:rPr>
          <w:rFonts w:ascii="Arial" w:hAnsi="Arial" w:cs="Arial"/>
          <w:b/>
          <w:sz w:val="22"/>
          <w:szCs w:val="22"/>
          <w:lang w:val="hr-HR"/>
        </w:rPr>
      </w:pPr>
      <w:r w:rsidRPr="007349CF">
        <w:rPr>
          <w:rFonts w:ascii="Arial" w:hAnsi="Arial" w:cs="Arial"/>
          <w:b/>
          <w:sz w:val="22"/>
          <w:szCs w:val="22"/>
          <w:lang w:val="hr-HR"/>
        </w:rPr>
        <w:t xml:space="preserve">4. </w:t>
      </w:r>
      <w:r w:rsidR="002212EC" w:rsidRPr="007349CF">
        <w:rPr>
          <w:rFonts w:ascii="Arial" w:hAnsi="Arial" w:cs="Arial"/>
          <w:b/>
          <w:sz w:val="22"/>
          <w:szCs w:val="22"/>
          <w:lang w:val="hr-HR"/>
        </w:rPr>
        <w:tab/>
      </w:r>
      <w:r w:rsidR="00D36712" w:rsidRPr="007349CF">
        <w:rPr>
          <w:rFonts w:ascii="Arial" w:hAnsi="Arial" w:cs="Arial"/>
          <w:b/>
          <w:sz w:val="22"/>
          <w:szCs w:val="22"/>
          <w:lang w:val="hr-HR"/>
        </w:rPr>
        <w:t>Prijava i postupak odabira</w:t>
      </w:r>
    </w:p>
    <w:p w14:paraId="71997947" w14:textId="77777777" w:rsidR="00EE2BDF" w:rsidRPr="007349CF" w:rsidRDefault="00EE2BDF" w:rsidP="00CA76B4">
      <w:pPr>
        <w:pStyle w:val="Default"/>
        <w:rPr>
          <w:rFonts w:ascii="Arial" w:hAnsi="Arial" w:cs="Arial"/>
          <w:sz w:val="22"/>
          <w:szCs w:val="22"/>
          <w:lang w:val="hr-HR"/>
        </w:rPr>
      </w:pPr>
    </w:p>
    <w:p w14:paraId="27CE8D62" w14:textId="3B7011F1" w:rsidR="00D04629" w:rsidRPr="007349CF" w:rsidRDefault="00447695" w:rsidP="00BA2424">
      <w:pPr>
        <w:pStyle w:val="Default"/>
        <w:jc w:val="both"/>
        <w:rPr>
          <w:rFonts w:ascii="Arial" w:hAnsi="Arial" w:cs="Arial"/>
          <w:b/>
          <w:sz w:val="22"/>
          <w:szCs w:val="22"/>
          <w:lang w:val="hr-HR"/>
        </w:rPr>
      </w:pPr>
      <w:r w:rsidRPr="007349CF">
        <w:rPr>
          <w:rFonts w:ascii="Arial" w:hAnsi="Arial" w:cs="Arial"/>
          <w:sz w:val="22"/>
          <w:szCs w:val="22"/>
          <w:lang w:val="hr-HR"/>
        </w:rPr>
        <w:t>Kako bi ostvarili mogućnost sudjelovanja u provedbi ovog</w:t>
      </w:r>
      <w:r w:rsidR="00D04629" w:rsidRPr="007349CF">
        <w:rPr>
          <w:rFonts w:ascii="Arial" w:hAnsi="Arial" w:cs="Arial"/>
          <w:sz w:val="22"/>
          <w:szCs w:val="22"/>
          <w:lang w:val="hr-HR"/>
        </w:rPr>
        <w:t xml:space="preserve"> </w:t>
      </w:r>
      <w:r w:rsidR="00DE40D4" w:rsidRPr="007349CF">
        <w:rPr>
          <w:rFonts w:ascii="Arial" w:hAnsi="Arial" w:cs="Arial"/>
          <w:sz w:val="22"/>
          <w:szCs w:val="22"/>
          <w:lang w:val="hr-HR"/>
        </w:rPr>
        <w:t>Program</w:t>
      </w:r>
      <w:r w:rsidR="00834DD0" w:rsidRPr="007349CF">
        <w:rPr>
          <w:rFonts w:ascii="Arial" w:hAnsi="Arial" w:cs="Arial"/>
          <w:sz w:val="22"/>
          <w:szCs w:val="22"/>
          <w:lang w:val="hr-HR"/>
        </w:rPr>
        <w:t>a</w:t>
      </w:r>
      <w:r w:rsidR="00D04629" w:rsidRPr="007349CF">
        <w:rPr>
          <w:rFonts w:ascii="Arial" w:hAnsi="Arial" w:cs="Arial"/>
          <w:sz w:val="22"/>
          <w:szCs w:val="22"/>
          <w:lang w:val="hr-HR"/>
        </w:rPr>
        <w:t xml:space="preserve">, </w:t>
      </w:r>
      <w:r w:rsidR="00834DD0" w:rsidRPr="007349CF">
        <w:rPr>
          <w:rFonts w:ascii="Arial" w:hAnsi="Arial" w:cs="Arial"/>
          <w:sz w:val="22"/>
          <w:szCs w:val="22"/>
          <w:lang w:val="hr-HR"/>
        </w:rPr>
        <w:t xml:space="preserve">zainteresirane </w:t>
      </w:r>
      <w:r w:rsidR="00CD007D" w:rsidRPr="007349CF">
        <w:rPr>
          <w:rFonts w:ascii="Arial" w:hAnsi="Arial" w:cs="Arial"/>
          <w:sz w:val="22"/>
          <w:szCs w:val="22"/>
          <w:lang w:val="hr-HR"/>
        </w:rPr>
        <w:t>Financijske institucije</w:t>
      </w:r>
      <w:r w:rsidR="00CA76B4" w:rsidRPr="007349CF">
        <w:rPr>
          <w:rFonts w:ascii="Arial" w:hAnsi="Arial" w:cs="Arial"/>
          <w:sz w:val="22"/>
          <w:szCs w:val="22"/>
          <w:lang w:val="hr-HR"/>
        </w:rPr>
        <w:t xml:space="preserve"> </w:t>
      </w:r>
      <w:r w:rsidR="00834DD0" w:rsidRPr="007349CF">
        <w:rPr>
          <w:rFonts w:ascii="Arial" w:hAnsi="Arial" w:cs="Arial"/>
          <w:sz w:val="22"/>
          <w:szCs w:val="22"/>
          <w:lang w:val="hr-HR"/>
        </w:rPr>
        <w:t>(„</w:t>
      </w:r>
      <w:r w:rsidR="009447F6" w:rsidRPr="007349CF">
        <w:rPr>
          <w:rFonts w:ascii="Arial" w:hAnsi="Arial" w:cs="Arial"/>
          <w:sz w:val="22"/>
          <w:szCs w:val="22"/>
          <w:lang w:val="hr-HR"/>
        </w:rPr>
        <w:t>Prijavitelji</w:t>
      </w:r>
      <w:r w:rsidR="00834DD0" w:rsidRPr="007349CF">
        <w:rPr>
          <w:rFonts w:ascii="Arial" w:hAnsi="Arial" w:cs="Arial"/>
          <w:sz w:val="22"/>
          <w:szCs w:val="22"/>
          <w:lang w:val="hr-HR"/>
        </w:rPr>
        <w:t>“</w:t>
      </w:r>
      <w:r w:rsidR="00CA76B4" w:rsidRPr="007349CF">
        <w:rPr>
          <w:rFonts w:ascii="Arial" w:hAnsi="Arial" w:cs="Arial"/>
          <w:sz w:val="22"/>
          <w:szCs w:val="22"/>
          <w:lang w:val="hr-HR"/>
        </w:rPr>
        <w:t xml:space="preserve">) </w:t>
      </w:r>
      <w:r w:rsidRPr="007349CF">
        <w:rPr>
          <w:rFonts w:ascii="Arial" w:hAnsi="Arial" w:cs="Arial"/>
          <w:sz w:val="22"/>
          <w:szCs w:val="22"/>
          <w:lang w:val="hr-HR"/>
        </w:rPr>
        <w:t>moraju</w:t>
      </w:r>
      <w:r w:rsidR="00834DD0" w:rsidRPr="007349CF">
        <w:rPr>
          <w:rFonts w:ascii="Arial" w:hAnsi="Arial" w:cs="Arial"/>
          <w:sz w:val="22"/>
          <w:szCs w:val="22"/>
          <w:lang w:val="hr-HR"/>
        </w:rPr>
        <w:t xml:space="preserve"> podnijeti zahtjev</w:t>
      </w:r>
      <w:r w:rsidR="00D36712" w:rsidRPr="007349CF">
        <w:rPr>
          <w:rFonts w:ascii="Arial" w:hAnsi="Arial" w:cs="Arial"/>
          <w:sz w:val="22"/>
          <w:szCs w:val="22"/>
          <w:lang w:val="hr-HR"/>
        </w:rPr>
        <w:t xml:space="preserve"> („</w:t>
      </w:r>
      <w:r w:rsidR="00D36712" w:rsidRPr="007349CF">
        <w:rPr>
          <w:rFonts w:ascii="Arial" w:hAnsi="Arial" w:cs="Arial"/>
          <w:color w:val="000000" w:themeColor="text1"/>
          <w:sz w:val="22"/>
          <w:szCs w:val="22"/>
          <w:lang w:val="hr-HR"/>
        </w:rPr>
        <w:t>Iskaz interesa</w:t>
      </w:r>
      <w:r w:rsidR="00D36712" w:rsidRPr="007349CF">
        <w:rPr>
          <w:rFonts w:ascii="Arial" w:hAnsi="Arial" w:cs="Arial"/>
          <w:sz w:val="22"/>
          <w:szCs w:val="22"/>
          <w:lang w:val="hr-HR"/>
        </w:rPr>
        <w:t>“</w:t>
      </w:r>
      <w:r w:rsidR="00BA2424" w:rsidRPr="007349CF">
        <w:rPr>
          <w:rFonts w:ascii="Arial" w:hAnsi="Arial" w:cs="Arial"/>
          <w:sz w:val="22"/>
          <w:szCs w:val="22"/>
          <w:lang w:val="hr-HR"/>
        </w:rPr>
        <w:t xml:space="preserve"> </w:t>
      </w:r>
      <w:r w:rsidR="00D36712" w:rsidRPr="007349CF">
        <w:rPr>
          <w:rFonts w:ascii="Arial" w:hAnsi="Arial" w:cs="Arial"/>
          <w:sz w:val="22"/>
          <w:szCs w:val="22"/>
          <w:lang w:val="hr-HR"/>
        </w:rPr>
        <w:t>prema predlošku iz</w:t>
      </w:r>
      <w:r w:rsidR="00BA2424" w:rsidRPr="007349CF">
        <w:rPr>
          <w:rFonts w:ascii="Arial" w:hAnsi="Arial" w:cs="Arial"/>
          <w:sz w:val="22"/>
          <w:szCs w:val="22"/>
          <w:lang w:val="hr-HR"/>
        </w:rPr>
        <w:t xml:space="preserve"> </w:t>
      </w:r>
      <w:r w:rsidR="009447F6" w:rsidRPr="007349CF">
        <w:rPr>
          <w:rFonts w:ascii="Arial" w:hAnsi="Arial" w:cs="Arial"/>
          <w:sz w:val="22"/>
          <w:szCs w:val="22"/>
          <w:lang w:val="hr-HR"/>
        </w:rPr>
        <w:t>Prilog</w:t>
      </w:r>
      <w:r w:rsidR="00D36712" w:rsidRPr="007349CF">
        <w:rPr>
          <w:rFonts w:ascii="Arial" w:hAnsi="Arial" w:cs="Arial"/>
          <w:sz w:val="22"/>
          <w:szCs w:val="22"/>
          <w:lang w:val="hr-HR"/>
        </w:rPr>
        <w:t>a</w:t>
      </w:r>
      <w:r w:rsidR="009447F6" w:rsidRPr="007349CF">
        <w:rPr>
          <w:rFonts w:ascii="Arial" w:hAnsi="Arial" w:cs="Arial"/>
          <w:sz w:val="22"/>
          <w:szCs w:val="22"/>
          <w:lang w:val="hr-HR"/>
        </w:rPr>
        <w:t xml:space="preserve"> </w:t>
      </w:r>
      <w:r w:rsidR="00BA2424" w:rsidRPr="007349CF">
        <w:rPr>
          <w:rFonts w:ascii="Arial" w:hAnsi="Arial" w:cs="Arial"/>
          <w:sz w:val="22"/>
          <w:szCs w:val="22"/>
          <w:lang w:val="hr-HR"/>
        </w:rPr>
        <w:t xml:space="preserve">III </w:t>
      </w:r>
      <w:r w:rsidR="00D36712" w:rsidRPr="007349CF">
        <w:rPr>
          <w:rFonts w:ascii="Arial" w:hAnsi="Arial" w:cs="Arial"/>
          <w:sz w:val="22"/>
          <w:szCs w:val="22"/>
          <w:lang w:val="hr-HR"/>
        </w:rPr>
        <w:t>ovog</w:t>
      </w:r>
      <w:r w:rsidR="00BA2424"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00D36712" w:rsidRPr="007349CF">
        <w:rPr>
          <w:rFonts w:ascii="Arial" w:hAnsi="Arial" w:cs="Arial"/>
          <w:sz w:val="22"/>
          <w:szCs w:val="22"/>
          <w:lang w:val="hr-HR"/>
        </w:rPr>
        <w:t>a</w:t>
      </w:r>
      <w:r w:rsidR="00CA76B4" w:rsidRPr="007349CF">
        <w:rPr>
          <w:rFonts w:ascii="Arial" w:hAnsi="Arial" w:cs="Arial"/>
          <w:sz w:val="22"/>
          <w:szCs w:val="22"/>
          <w:lang w:val="hr-HR"/>
        </w:rPr>
        <w:t xml:space="preserve">) </w:t>
      </w:r>
      <w:r w:rsidR="00D36712" w:rsidRPr="007349CF">
        <w:rPr>
          <w:rFonts w:ascii="Arial" w:hAnsi="Arial" w:cs="Arial"/>
          <w:sz w:val="22"/>
          <w:szCs w:val="22"/>
          <w:lang w:val="hr-HR"/>
        </w:rPr>
        <w:t>u</w:t>
      </w:r>
      <w:r w:rsidR="00CA76B4" w:rsidRPr="007349CF">
        <w:rPr>
          <w:rFonts w:ascii="Arial" w:hAnsi="Arial" w:cs="Arial"/>
          <w:sz w:val="22"/>
          <w:szCs w:val="22"/>
          <w:lang w:val="hr-HR"/>
        </w:rPr>
        <w:t xml:space="preserve"> </w:t>
      </w:r>
      <w:r w:rsidR="008435D0" w:rsidRPr="007349CF">
        <w:rPr>
          <w:rFonts w:ascii="Arial" w:hAnsi="Arial" w:cs="Arial"/>
          <w:sz w:val="22"/>
          <w:szCs w:val="22"/>
          <w:lang w:val="hr-HR"/>
        </w:rPr>
        <w:t xml:space="preserve">HAMAG-BICRO </w:t>
      </w:r>
      <w:r w:rsidR="00D36712" w:rsidRPr="007349CF">
        <w:rPr>
          <w:rFonts w:ascii="Arial" w:hAnsi="Arial" w:cs="Arial"/>
          <w:sz w:val="22"/>
          <w:szCs w:val="22"/>
          <w:lang w:val="hr-HR"/>
        </w:rPr>
        <w:t>do</w:t>
      </w:r>
      <w:r w:rsidR="00CA76B4" w:rsidRPr="007349CF">
        <w:rPr>
          <w:rFonts w:ascii="Arial" w:hAnsi="Arial" w:cs="Arial"/>
          <w:sz w:val="22"/>
          <w:szCs w:val="22"/>
          <w:lang w:val="hr-HR"/>
        </w:rPr>
        <w:t xml:space="preserve"> </w:t>
      </w:r>
      <w:r w:rsidRPr="007349CF">
        <w:rPr>
          <w:rFonts w:ascii="Arial" w:hAnsi="Arial" w:cs="Arial"/>
          <w:sz w:val="22"/>
          <w:szCs w:val="22"/>
          <w:lang w:val="hr-HR"/>
        </w:rPr>
        <w:t xml:space="preserve">krajnjeg </w:t>
      </w:r>
      <w:r w:rsidR="00D36712" w:rsidRPr="007349CF">
        <w:rPr>
          <w:rFonts w:ascii="Arial" w:hAnsi="Arial" w:cs="Arial"/>
          <w:b/>
          <w:sz w:val="22"/>
          <w:szCs w:val="22"/>
          <w:lang w:val="hr-HR"/>
        </w:rPr>
        <w:t>roka za podnošenje prijava</w:t>
      </w:r>
      <w:r w:rsidR="005C26F0" w:rsidRPr="007349CF">
        <w:rPr>
          <w:rFonts w:ascii="Arial" w:hAnsi="Arial" w:cs="Arial"/>
          <w:b/>
          <w:sz w:val="22"/>
          <w:szCs w:val="22"/>
          <w:lang w:val="hr-HR"/>
        </w:rPr>
        <w:t xml:space="preserve">: </w:t>
      </w:r>
      <w:r w:rsidR="004316F8" w:rsidRPr="007349CF">
        <w:rPr>
          <w:rFonts w:ascii="Arial" w:hAnsi="Arial" w:cs="Arial"/>
          <w:b/>
          <w:sz w:val="22"/>
          <w:szCs w:val="22"/>
          <w:lang w:val="hr-HR"/>
        </w:rPr>
        <w:t>1</w:t>
      </w:r>
      <w:r w:rsidR="00570EA2">
        <w:rPr>
          <w:rFonts w:ascii="Arial" w:hAnsi="Arial" w:cs="Arial"/>
          <w:b/>
          <w:sz w:val="22"/>
          <w:szCs w:val="22"/>
          <w:lang w:val="hr-HR"/>
        </w:rPr>
        <w:t>3</w:t>
      </w:r>
      <w:r w:rsidR="00D36712" w:rsidRPr="007349CF">
        <w:rPr>
          <w:rFonts w:ascii="Arial" w:hAnsi="Arial" w:cs="Arial"/>
          <w:b/>
          <w:sz w:val="22"/>
          <w:szCs w:val="22"/>
          <w:lang w:val="hr-HR"/>
        </w:rPr>
        <w:t>.</w:t>
      </w:r>
      <w:r w:rsidR="00570EA2">
        <w:rPr>
          <w:rFonts w:ascii="Arial" w:hAnsi="Arial" w:cs="Arial"/>
          <w:b/>
          <w:sz w:val="22"/>
          <w:szCs w:val="22"/>
          <w:lang w:val="hr-HR"/>
        </w:rPr>
        <w:t xml:space="preserve">svibnja </w:t>
      </w:r>
      <w:r w:rsidR="00D04629" w:rsidRPr="007349CF">
        <w:rPr>
          <w:rFonts w:ascii="Arial" w:hAnsi="Arial" w:cs="Arial"/>
          <w:b/>
          <w:sz w:val="22"/>
          <w:szCs w:val="22"/>
          <w:lang w:val="hr-HR"/>
        </w:rPr>
        <w:t>201</w:t>
      </w:r>
      <w:r w:rsidR="00570EA2">
        <w:rPr>
          <w:rFonts w:ascii="Arial" w:hAnsi="Arial" w:cs="Arial"/>
          <w:b/>
          <w:sz w:val="22"/>
          <w:szCs w:val="22"/>
          <w:lang w:val="hr-HR"/>
        </w:rPr>
        <w:t>9</w:t>
      </w:r>
      <w:r w:rsidR="00D04629" w:rsidRPr="007349CF">
        <w:rPr>
          <w:rFonts w:ascii="Arial" w:hAnsi="Arial" w:cs="Arial"/>
          <w:b/>
          <w:sz w:val="22"/>
          <w:szCs w:val="22"/>
          <w:lang w:val="hr-HR"/>
        </w:rPr>
        <w:t>.</w:t>
      </w:r>
      <w:r w:rsidR="007D63E2" w:rsidRPr="007349CF">
        <w:rPr>
          <w:rFonts w:ascii="Arial" w:hAnsi="Arial" w:cs="Arial"/>
          <w:b/>
          <w:sz w:val="22"/>
          <w:szCs w:val="22"/>
          <w:lang w:val="hr-HR"/>
        </w:rPr>
        <w:t xml:space="preserve"> do 23:59:59.</w:t>
      </w:r>
    </w:p>
    <w:p w14:paraId="3A12B45B" w14:textId="77777777" w:rsidR="00D04629" w:rsidRPr="007349CF" w:rsidRDefault="00D04629" w:rsidP="00CA76B4">
      <w:pPr>
        <w:pStyle w:val="Default"/>
        <w:rPr>
          <w:rFonts w:ascii="Arial" w:hAnsi="Arial" w:cs="Arial"/>
          <w:sz w:val="22"/>
          <w:szCs w:val="22"/>
          <w:lang w:val="hr-HR"/>
        </w:rPr>
      </w:pPr>
    </w:p>
    <w:p w14:paraId="18B6B0E3" w14:textId="75CEEE82" w:rsidR="00004C5E" w:rsidRPr="007349CF" w:rsidRDefault="00317F8D" w:rsidP="00004C5E">
      <w:pPr>
        <w:pStyle w:val="Default"/>
        <w:rPr>
          <w:rFonts w:ascii="Arial" w:hAnsi="Arial" w:cs="Arial"/>
          <w:sz w:val="22"/>
          <w:szCs w:val="22"/>
          <w:lang w:val="hr-HR"/>
        </w:rPr>
      </w:pPr>
      <w:r w:rsidRPr="007349CF">
        <w:rPr>
          <w:rFonts w:ascii="Arial" w:hAnsi="Arial" w:cs="Arial"/>
          <w:sz w:val="22"/>
          <w:szCs w:val="22"/>
          <w:lang w:val="hr-HR"/>
        </w:rPr>
        <w:lastRenderedPageBreak/>
        <w:t xml:space="preserve">Iskaz interesa za ovaj Poziv </w:t>
      </w:r>
      <w:r w:rsidR="003F03AF" w:rsidRPr="007349CF">
        <w:rPr>
          <w:rFonts w:ascii="Arial" w:hAnsi="Arial" w:cs="Arial"/>
          <w:sz w:val="22"/>
          <w:szCs w:val="22"/>
          <w:lang w:val="hr-HR"/>
        </w:rPr>
        <w:t>dostavlja se preporučenom</w:t>
      </w:r>
      <w:r w:rsidR="00834DD0" w:rsidRPr="007349CF">
        <w:rPr>
          <w:rFonts w:ascii="Arial" w:hAnsi="Arial" w:cs="Arial"/>
          <w:sz w:val="22"/>
          <w:szCs w:val="22"/>
          <w:lang w:val="hr-HR"/>
        </w:rPr>
        <w:t xml:space="preserve"> poštom ili </w:t>
      </w:r>
      <w:r w:rsidRPr="007349CF">
        <w:rPr>
          <w:rFonts w:ascii="Arial" w:hAnsi="Arial" w:cs="Arial"/>
          <w:sz w:val="22"/>
          <w:szCs w:val="22"/>
          <w:lang w:val="hr-HR"/>
        </w:rPr>
        <w:t>osobno u zatvorenoj kuverti</w:t>
      </w:r>
      <w:r w:rsidR="00F57F2C" w:rsidRPr="007349CF">
        <w:rPr>
          <w:rFonts w:ascii="Arial" w:hAnsi="Arial" w:cs="Arial"/>
          <w:sz w:val="22"/>
          <w:szCs w:val="22"/>
          <w:lang w:val="hr-HR"/>
        </w:rPr>
        <w:t xml:space="preserve">, </w:t>
      </w:r>
      <w:r w:rsidR="00FB0504" w:rsidRPr="007349CF">
        <w:rPr>
          <w:rFonts w:ascii="Arial" w:hAnsi="Arial" w:cs="Arial"/>
          <w:sz w:val="22"/>
          <w:szCs w:val="22"/>
          <w:lang w:val="hr-HR"/>
        </w:rPr>
        <w:t xml:space="preserve">te sadrži </w:t>
      </w:r>
      <w:r w:rsidRPr="007349CF">
        <w:rPr>
          <w:rFonts w:ascii="Arial" w:hAnsi="Arial" w:cs="Arial"/>
          <w:b/>
          <w:sz w:val="22"/>
          <w:szCs w:val="22"/>
          <w:lang w:val="hr-HR"/>
        </w:rPr>
        <w:t>izvornike</w:t>
      </w:r>
      <w:r w:rsidRPr="007349CF">
        <w:rPr>
          <w:rFonts w:ascii="Arial" w:hAnsi="Arial" w:cs="Arial"/>
          <w:sz w:val="22"/>
          <w:szCs w:val="22"/>
          <w:lang w:val="hr-HR"/>
        </w:rPr>
        <w:t xml:space="preserve"> popunjenog </w:t>
      </w:r>
      <w:r w:rsidRPr="007349CF">
        <w:rPr>
          <w:rFonts w:ascii="Arial" w:hAnsi="Arial" w:cs="Arial"/>
          <w:b/>
          <w:sz w:val="22"/>
          <w:szCs w:val="22"/>
          <w:lang w:val="hr-HR"/>
        </w:rPr>
        <w:t>obrasca</w:t>
      </w:r>
      <w:r w:rsidR="00004C5E" w:rsidRPr="007349CF">
        <w:rPr>
          <w:rFonts w:ascii="Arial" w:hAnsi="Arial" w:cs="Arial"/>
          <w:b/>
          <w:sz w:val="22"/>
          <w:szCs w:val="22"/>
          <w:lang w:val="hr-HR"/>
        </w:rPr>
        <w:t xml:space="preserve"> </w:t>
      </w:r>
      <w:r w:rsidRPr="007349CF">
        <w:rPr>
          <w:rFonts w:ascii="Arial" w:hAnsi="Arial" w:cs="Arial"/>
          <w:b/>
          <w:sz w:val="22"/>
          <w:szCs w:val="22"/>
          <w:lang w:val="hr-HR"/>
        </w:rPr>
        <w:t xml:space="preserve">za </w:t>
      </w:r>
      <w:r w:rsidR="00FB0504" w:rsidRPr="007349CF">
        <w:rPr>
          <w:rFonts w:ascii="Arial" w:hAnsi="Arial" w:cs="Arial"/>
          <w:b/>
          <w:sz w:val="22"/>
          <w:szCs w:val="22"/>
          <w:lang w:val="hr-HR"/>
        </w:rPr>
        <w:t>Iskaz</w:t>
      </w:r>
      <w:r w:rsidR="00004C5E" w:rsidRPr="007349CF">
        <w:rPr>
          <w:rFonts w:ascii="Arial" w:hAnsi="Arial" w:cs="Arial"/>
          <w:b/>
          <w:sz w:val="22"/>
          <w:szCs w:val="22"/>
          <w:lang w:val="hr-HR"/>
        </w:rPr>
        <w:t>a</w:t>
      </w:r>
      <w:r w:rsidR="00FB0504" w:rsidRPr="007349CF">
        <w:rPr>
          <w:rFonts w:ascii="Arial" w:hAnsi="Arial" w:cs="Arial"/>
          <w:b/>
          <w:sz w:val="22"/>
          <w:szCs w:val="22"/>
          <w:lang w:val="hr-HR"/>
        </w:rPr>
        <w:t xml:space="preserve"> interesa</w:t>
      </w:r>
      <w:r w:rsidR="00F57F2C" w:rsidRPr="007349CF">
        <w:rPr>
          <w:rFonts w:ascii="Arial" w:hAnsi="Arial" w:cs="Arial"/>
          <w:sz w:val="22"/>
          <w:szCs w:val="22"/>
          <w:lang w:val="hr-HR"/>
        </w:rPr>
        <w:t xml:space="preserve"> </w:t>
      </w:r>
      <w:r w:rsidR="00FB0504" w:rsidRPr="007349CF">
        <w:rPr>
          <w:rFonts w:ascii="Arial" w:hAnsi="Arial" w:cs="Arial"/>
          <w:sz w:val="22"/>
          <w:szCs w:val="22"/>
          <w:lang w:val="hr-HR"/>
        </w:rPr>
        <w:t xml:space="preserve">zajedno s </w:t>
      </w:r>
      <w:r w:rsidRPr="007349CF">
        <w:rPr>
          <w:rFonts w:ascii="Arial" w:hAnsi="Arial" w:cs="Arial"/>
          <w:b/>
          <w:sz w:val="22"/>
          <w:szCs w:val="22"/>
          <w:lang w:val="hr-HR"/>
        </w:rPr>
        <w:t>dodacima</w:t>
      </w:r>
      <w:r w:rsidRPr="007349CF">
        <w:rPr>
          <w:rFonts w:ascii="Arial" w:hAnsi="Arial" w:cs="Arial"/>
          <w:sz w:val="22"/>
          <w:szCs w:val="22"/>
          <w:lang w:val="hr-HR"/>
        </w:rPr>
        <w:t xml:space="preserve"> </w:t>
      </w:r>
      <w:r w:rsidRPr="007349CF">
        <w:rPr>
          <w:rFonts w:ascii="Arial" w:hAnsi="Arial" w:cs="Arial"/>
          <w:b/>
          <w:sz w:val="22"/>
          <w:szCs w:val="22"/>
          <w:lang w:val="hr-HR"/>
        </w:rPr>
        <w:t>(Izjava 1, Izjava 2, Izjava 3)</w:t>
      </w:r>
      <w:r w:rsidR="00F57F2C" w:rsidRPr="007349CF">
        <w:rPr>
          <w:rFonts w:ascii="Arial" w:hAnsi="Arial" w:cs="Arial"/>
          <w:sz w:val="22"/>
          <w:szCs w:val="22"/>
          <w:lang w:val="hr-HR"/>
        </w:rPr>
        <w:t xml:space="preserve">, </w:t>
      </w:r>
      <w:r w:rsidR="00FB0504" w:rsidRPr="007349CF">
        <w:rPr>
          <w:rFonts w:ascii="Arial" w:hAnsi="Arial" w:cs="Arial"/>
          <w:sz w:val="22"/>
          <w:szCs w:val="22"/>
          <w:lang w:val="hr-HR"/>
        </w:rPr>
        <w:t xml:space="preserve">u papirnatom obliku i na elektroničkom mediju za pohranu </w:t>
      </w:r>
      <w:r w:rsidR="00F57F2C" w:rsidRPr="007349CF">
        <w:rPr>
          <w:rFonts w:ascii="Arial" w:hAnsi="Arial" w:cs="Arial"/>
          <w:sz w:val="22"/>
          <w:szCs w:val="22"/>
          <w:lang w:val="hr-HR"/>
        </w:rPr>
        <w:t>(</w:t>
      </w:r>
      <w:r w:rsidR="00FB0504" w:rsidRPr="007349CF">
        <w:rPr>
          <w:rFonts w:ascii="Arial" w:hAnsi="Arial" w:cs="Arial"/>
          <w:sz w:val="22"/>
          <w:szCs w:val="22"/>
          <w:lang w:val="hr-HR"/>
        </w:rPr>
        <w:t xml:space="preserve">npr. </w:t>
      </w:r>
      <w:r w:rsidR="00004C5E" w:rsidRPr="007349CF">
        <w:rPr>
          <w:rFonts w:ascii="Arial" w:hAnsi="Arial" w:cs="Arial"/>
          <w:sz w:val="22"/>
          <w:szCs w:val="22"/>
          <w:lang w:val="hr-HR"/>
        </w:rPr>
        <w:t xml:space="preserve">CD/DVD/USB). Iskaz interesa s nazivom podnositelja prijave se </w:t>
      </w:r>
      <w:r w:rsidR="00FB0504" w:rsidRPr="007349CF">
        <w:rPr>
          <w:rFonts w:ascii="Arial" w:hAnsi="Arial" w:cs="Arial"/>
          <w:sz w:val="22"/>
          <w:szCs w:val="22"/>
          <w:lang w:val="hr-HR"/>
        </w:rPr>
        <w:t>šalj</w:t>
      </w:r>
      <w:r w:rsidR="00004C5E" w:rsidRPr="007349CF">
        <w:rPr>
          <w:rFonts w:ascii="Arial" w:hAnsi="Arial" w:cs="Arial"/>
          <w:sz w:val="22"/>
          <w:szCs w:val="22"/>
          <w:lang w:val="hr-HR"/>
        </w:rPr>
        <w:t>e se</w:t>
      </w:r>
      <w:r w:rsidR="00FB0504" w:rsidRPr="007349CF">
        <w:rPr>
          <w:rFonts w:ascii="Arial" w:hAnsi="Arial" w:cs="Arial"/>
          <w:sz w:val="22"/>
          <w:szCs w:val="22"/>
          <w:lang w:val="hr-HR"/>
        </w:rPr>
        <w:t xml:space="preserve"> na sljedeću adresu</w:t>
      </w:r>
      <w:r w:rsidR="00F57F2C" w:rsidRPr="007349CF">
        <w:rPr>
          <w:rFonts w:ascii="Arial" w:hAnsi="Arial" w:cs="Arial"/>
          <w:sz w:val="22"/>
          <w:szCs w:val="22"/>
          <w:lang w:val="hr-HR"/>
        </w:rPr>
        <w:t xml:space="preserve">: </w:t>
      </w:r>
    </w:p>
    <w:p w14:paraId="2018D981" w14:textId="21886CC0" w:rsidR="00CD1895" w:rsidRPr="007349CF" w:rsidRDefault="00CD1895" w:rsidP="00866BBE">
      <w:pPr>
        <w:pStyle w:val="Default"/>
        <w:jc w:val="center"/>
        <w:rPr>
          <w:rFonts w:ascii="Arial" w:hAnsi="Arial" w:cs="Arial"/>
          <w:i/>
          <w:sz w:val="22"/>
          <w:szCs w:val="22"/>
          <w:lang w:val="hr-HR"/>
        </w:rPr>
      </w:pPr>
      <w:r w:rsidRPr="007349CF">
        <w:rPr>
          <w:rFonts w:ascii="Arial" w:hAnsi="Arial" w:cs="Arial"/>
          <w:i/>
          <w:sz w:val="22"/>
          <w:szCs w:val="22"/>
          <w:lang w:val="hr-HR"/>
        </w:rPr>
        <w:t>HAMAG-BICRO</w:t>
      </w:r>
    </w:p>
    <w:p w14:paraId="2E1EF14E" w14:textId="73CBF55D" w:rsidR="00866BBE" w:rsidRPr="007349CF" w:rsidRDefault="00866BBE" w:rsidP="00866BBE">
      <w:pPr>
        <w:pStyle w:val="Default"/>
        <w:jc w:val="center"/>
        <w:rPr>
          <w:rFonts w:ascii="Arial" w:hAnsi="Arial" w:cs="Arial"/>
          <w:i/>
          <w:sz w:val="22"/>
          <w:szCs w:val="22"/>
          <w:lang w:val="hr-HR"/>
        </w:rPr>
      </w:pPr>
      <w:r w:rsidRPr="007349CF">
        <w:rPr>
          <w:rFonts w:ascii="Arial" w:hAnsi="Arial" w:cs="Arial"/>
          <w:sz w:val="22"/>
          <w:szCs w:val="22"/>
          <w:lang w:val="hr-HR"/>
        </w:rPr>
        <w:t xml:space="preserve"> „Iskaz interesa za sudjelovanje u provedbi Programa pojedinačnih jamstava“</w:t>
      </w:r>
    </w:p>
    <w:p w14:paraId="745CE667" w14:textId="77777777" w:rsidR="00CD1895" w:rsidRPr="007349CF" w:rsidRDefault="00CD1895" w:rsidP="00866BBE">
      <w:pPr>
        <w:pStyle w:val="Default"/>
        <w:jc w:val="center"/>
        <w:rPr>
          <w:rFonts w:ascii="Arial" w:hAnsi="Arial" w:cs="Arial"/>
          <w:i/>
          <w:sz w:val="22"/>
          <w:szCs w:val="22"/>
          <w:lang w:val="hr-HR"/>
        </w:rPr>
      </w:pPr>
      <w:r w:rsidRPr="007349CF">
        <w:rPr>
          <w:rFonts w:ascii="Arial" w:hAnsi="Arial" w:cs="Arial"/>
          <w:i/>
          <w:sz w:val="22"/>
          <w:szCs w:val="22"/>
          <w:lang w:val="hr-HR"/>
        </w:rPr>
        <w:t>Ksaver 208</w:t>
      </w:r>
    </w:p>
    <w:p w14:paraId="2AFFF4A1" w14:textId="4384BD42" w:rsidR="00F57F2C" w:rsidRPr="007349CF" w:rsidRDefault="00CD1895" w:rsidP="00866BBE">
      <w:pPr>
        <w:pStyle w:val="Default"/>
        <w:jc w:val="center"/>
        <w:rPr>
          <w:rFonts w:ascii="Arial" w:hAnsi="Arial" w:cs="Arial"/>
          <w:sz w:val="22"/>
          <w:szCs w:val="22"/>
          <w:lang w:val="hr-HR"/>
        </w:rPr>
      </w:pPr>
      <w:r w:rsidRPr="007349CF">
        <w:rPr>
          <w:rFonts w:ascii="Arial" w:hAnsi="Arial" w:cs="Arial"/>
          <w:i/>
          <w:sz w:val="22"/>
          <w:szCs w:val="22"/>
          <w:lang w:val="hr-HR"/>
        </w:rPr>
        <w:t>10000 Zagreb</w:t>
      </w:r>
    </w:p>
    <w:p w14:paraId="0BDF3945" w14:textId="77777777" w:rsidR="00F57F2C" w:rsidRPr="007349CF" w:rsidRDefault="00F57F2C" w:rsidP="00FB0504">
      <w:pPr>
        <w:pStyle w:val="Default"/>
        <w:jc w:val="both"/>
        <w:rPr>
          <w:rFonts w:ascii="Arial" w:hAnsi="Arial" w:cs="Arial"/>
          <w:b/>
          <w:color w:val="000000" w:themeColor="text1"/>
          <w:sz w:val="22"/>
          <w:szCs w:val="22"/>
          <w:lang w:val="hr-HR"/>
        </w:rPr>
      </w:pPr>
    </w:p>
    <w:p w14:paraId="6B2B2D24" w14:textId="4E7954EE" w:rsidR="00D04629" w:rsidRPr="007349CF" w:rsidRDefault="00FB0504" w:rsidP="007D63E2">
      <w:pPr>
        <w:pStyle w:val="Default"/>
        <w:jc w:val="both"/>
        <w:rPr>
          <w:rFonts w:ascii="Arial" w:hAnsi="Arial" w:cs="Arial"/>
          <w:b/>
          <w:sz w:val="22"/>
          <w:szCs w:val="22"/>
          <w:lang w:val="hr-HR"/>
        </w:rPr>
      </w:pPr>
      <w:r w:rsidRPr="007349CF">
        <w:rPr>
          <w:rFonts w:ascii="Arial" w:hAnsi="Arial" w:cs="Arial"/>
          <w:b/>
          <w:sz w:val="22"/>
          <w:szCs w:val="22"/>
          <w:lang w:val="hr-HR"/>
        </w:rPr>
        <w:t xml:space="preserve">Ishod </w:t>
      </w:r>
      <w:r w:rsidR="00CD1895" w:rsidRPr="007349CF">
        <w:rPr>
          <w:rFonts w:ascii="Arial" w:hAnsi="Arial" w:cs="Arial"/>
          <w:b/>
          <w:sz w:val="22"/>
          <w:szCs w:val="22"/>
          <w:lang w:val="hr-HR"/>
        </w:rPr>
        <w:t>vrednovanja/odabira</w:t>
      </w:r>
      <w:r w:rsidRPr="007349CF">
        <w:rPr>
          <w:rFonts w:ascii="Arial" w:hAnsi="Arial" w:cs="Arial"/>
          <w:b/>
          <w:sz w:val="22"/>
          <w:szCs w:val="22"/>
          <w:lang w:val="hr-HR"/>
        </w:rPr>
        <w:t xml:space="preserve"> će se </w:t>
      </w:r>
      <w:r w:rsidR="00BB0B3A" w:rsidRPr="007349CF">
        <w:rPr>
          <w:rFonts w:ascii="Arial" w:hAnsi="Arial" w:cs="Arial"/>
          <w:b/>
          <w:sz w:val="22"/>
          <w:szCs w:val="22"/>
          <w:lang w:val="hr-HR"/>
        </w:rPr>
        <w:t>pisanim putem</w:t>
      </w:r>
      <w:r w:rsidRPr="007349CF">
        <w:rPr>
          <w:rFonts w:ascii="Arial" w:hAnsi="Arial" w:cs="Arial"/>
          <w:b/>
          <w:sz w:val="22"/>
          <w:szCs w:val="22"/>
          <w:lang w:val="hr-HR"/>
        </w:rPr>
        <w:t xml:space="preserve"> priopćiti </w:t>
      </w:r>
      <w:r w:rsidR="009447F6" w:rsidRPr="007349CF">
        <w:rPr>
          <w:rFonts w:ascii="Arial" w:hAnsi="Arial" w:cs="Arial"/>
          <w:b/>
          <w:sz w:val="22"/>
          <w:szCs w:val="22"/>
          <w:lang w:val="hr-HR"/>
        </w:rPr>
        <w:t>Prijavitelji</w:t>
      </w:r>
      <w:r w:rsidRPr="007349CF">
        <w:rPr>
          <w:rFonts w:ascii="Arial" w:hAnsi="Arial" w:cs="Arial"/>
          <w:b/>
          <w:sz w:val="22"/>
          <w:szCs w:val="22"/>
          <w:lang w:val="hr-HR"/>
        </w:rPr>
        <w:t>ma</w:t>
      </w:r>
      <w:r w:rsidR="004C7668" w:rsidRPr="007349CF">
        <w:rPr>
          <w:rFonts w:ascii="Arial" w:hAnsi="Arial" w:cs="Arial"/>
          <w:b/>
          <w:sz w:val="22"/>
          <w:szCs w:val="22"/>
          <w:lang w:val="hr-HR"/>
        </w:rPr>
        <w:t xml:space="preserve"> najkasnije</w:t>
      </w:r>
      <w:r w:rsidRPr="007349CF">
        <w:rPr>
          <w:rFonts w:ascii="Arial" w:hAnsi="Arial" w:cs="Arial"/>
          <w:b/>
          <w:sz w:val="22"/>
          <w:szCs w:val="22"/>
          <w:lang w:val="hr-HR"/>
        </w:rPr>
        <w:t xml:space="preserve"> do </w:t>
      </w:r>
      <w:r w:rsidR="00570EA2">
        <w:rPr>
          <w:rFonts w:ascii="Arial" w:hAnsi="Arial" w:cs="Arial"/>
          <w:b/>
          <w:sz w:val="22"/>
          <w:szCs w:val="22"/>
          <w:lang w:val="hr-HR"/>
        </w:rPr>
        <w:t>20</w:t>
      </w:r>
      <w:r w:rsidRPr="007349CF">
        <w:rPr>
          <w:rFonts w:ascii="Arial" w:hAnsi="Arial" w:cs="Arial"/>
          <w:b/>
          <w:sz w:val="22"/>
          <w:szCs w:val="22"/>
          <w:lang w:val="hr-HR"/>
        </w:rPr>
        <w:t xml:space="preserve">. </w:t>
      </w:r>
      <w:r w:rsidR="00570EA2">
        <w:rPr>
          <w:rFonts w:ascii="Arial" w:hAnsi="Arial" w:cs="Arial"/>
          <w:b/>
          <w:sz w:val="22"/>
          <w:szCs w:val="22"/>
          <w:lang w:val="hr-HR"/>
        </w:rPr>
        <w:t xml:space="preserve">svibnja </w:t>
      </w:r>
      <w:r w:rsidR="00D04629" w:rsidRPr="007349CF">
        <w:rPr>
          <w:rFonts w:ascii="Arial" w:hAnsi="Arial" w:cs="Arial"/>
          <w:b/>
          <w:sz w:val="22"/>
          <w:szCs w:val="22"/>
          <w:lang w:val="hr-HR"/>
        </w:rPr>
        <w:t>201</w:t>
      </w:r>
      <w:r w:rsidR="00570EA2">
        <w:rPr>
          <w:rFonts w:ascii="Arial" w:hAnsi="Arial" w:cs="Arial"/>
          <w:b/>
          <w:sz w:val="22"/>
          <w:szCs w:val="22"/>
          <w:lang w:val="hr-HR"/>
        </w:rPr>
        <w:t>9</w:t>
      </w:r>
      <w:r w:rsidR="00D04629" w:rsidRPr="007349CF">
        <w:rPr>
          <w:rFonts w:ascii="Arial" w:hAnsi="Arial" w:cs="Arial"/>
          <w:b/>
          <w:sz w:val="22"/>
          <w:szCs w:val="22"/>
          <w:lang w:val="hr-HR"/>
        </w:rPr>
        <w:t xml:space="preserve">. </w:t>
      </w:r>
      <w:r w:rsidR="004C7668" w:rsidRPr="007349CF">
        <w:rPr>
          <w:rFonts w:ascii="Arial" w:hAnsi="Arial" w:cs="Arial"/>
          <w:b/>
          <w:sz w:val="22"/>
          <w:szCs w:val="22"/>
          <w:lang w:val="hr-HR"/>
        </w:rPr>
        <w:t xml:space="preserve">a isti će biti i objavljen na internetskoj stranici HAMAG-BICRO-a. </w:t>
      </w:r>
    </w:p>
    <w:p w14:paraId="726FBDD5" w14:textId="77777777" w:rsidR="00D04629" w:rsidRPr="007349CF" w:rsidRDefault="00D04629" w:rsidP="00FB0504">
      <w:pPr>
        <w:pStyle w:val="Default"/>
        <w:jc w:val="both"/>
        <w:rPr>
          <w:rFonts w:ascii="Arial" w:hAnsi="Arial" w:cs="Arial"/>
          <w:b/>
          <w:sz w:val="22"/>
          <w:szCs w:val="22"/>
          <w:lang w:val="hr-HR"/>
        </w:rPr>
      </w:pPr>
    </w:p>
    <w:p w14:paraId="43D2799B" w14:textId="77777777" w:rsidR="00CA76B4" w:rsidRPr="007349CF" w:rsidRDefault="00FB0504" w:rsidP="00FB0504">
      <w:pPr>
        <w:pStyle w:val="Default"/>
        <w:jc w:val="both"/>
        <w:rPr>
          <w:rFonts w:ascii="Arial" w:hAnsi="Arial" w:cs="Arial"/>
          <w:sz w:val="22"/>
          <w:szCs w:val="22"/>
          <w:lang w:val="hr-HR"/>
        </w:rPr>
      </w:pPr>
      <w:r w:rsidRPr="007349CF">
        <w:rPr>
          <w:rFonts w:ascii="Arial" w:hAnsi="Arial" w:cs="Arial"/>
          <w:sz w:val="22"/>
          <w:szCs w:val="22"/>
          <w:lang w:val="hr-HR"/>
        </w:rPr>
        <w:t>Sukladno</w:t>
      </w:r>
      <w:r w:rsidR="00CA76B4" w:rsidRPr="007349CF">
        <w:rPr>
          <w:rFonts w:ascii="Arial" w:hAnsi="Arial" w:cs="Arial"/>
          <w:sz w:val="22"/>
          <w:szCs w:val="22"/>
          <w:lang w:val="hr-HR"/>
        </w:rPr>
        <w:t xml:space="preserve"> </w:t>
      </w:r>
      <w:r w:rsidR="009447F6" w:rsidRPr="007349CF">
        <w:rPr>
          <w:rFonts w:ascii="Arial" w:hAnsi="Arial" w:cs="Arial"/>
          <w:sz w:val="22"/>
          <w:szCs w:val="22"/>
          <w:lang w:val="hr-HR"/>
        </w:rPr>
        <w:t>Prilog</w:t>
      </w:r>
      <w:r w:rsidRPr="007349CF">
        <w:rPr>
          <w:rFonts w:ascii="Arial" w:hAnsi="Arial" w:cs="Arial"/>
          <w:sz w:val="22"/>
          <w:szCs w:val="22"/>
          <w:lang w:val="hr-HR"/>
        </w:rPr>
        <w:t>u</w:t>
      </w:r>
      <w:r w:rsidR="009447F6" w:rsidRPr="007349CF">
        <w:rPr>
          <w:rFonts w:ascii="Arial" w:hAnsi="Arial" w:cs="Arial"/>
          <w:sz w:val="22"/>
          <w:szCs w:val="22"/>
          <w:lang w:val="hr-HR"/>
        </w:rPr>
        <w:t xml:space="preserve"> </w:t>
      </w:r>
      <w:r w:rsidR="00CA76B4" w:rsidRPr="007349CF">
        <w:rPr>
          <w:rFonts w:ascii="Arial" w:hAnsi="Arial" w:cs="Arial"/>
          <w:sz w:val="22"/>
          <w:szCs w:val="22"/>
          <w:lang w:val="hr-HR"/>
        </w:rPr>
        <w:t>I</w:t>
      </w:r>
      <w:r w:rsidR="00D04629" w:rsidRPr="007349CF">
        <w:rPr>
          <w:rFonts w:ascii="Arial" w:hAnsi="Arial" w:cs="Arial"/>
          <w:sz w:val="22"/>
          <w:szCs w:val="22"/>
          <w:lang w:val="hr-HR"/>
        </w:rPr>
        <w:t>II</w:t>
      </w:r>
      <w:r w:rsidR="00CA76B4" w:rsidRPr="007349CF">
        <w:rPr>
          <w:rFonts w:ascii="Arial" w:hAnsi="Arial" w:cs="Arial"/>
          <w:sz w:val="22"/>
          <w:szCs w:val="22"/>
          <w:lang w:val="hr-HR"/>
        </w:rPr>
        <w:t xml:space="preserve"> </w:t>
      </w:r>
      <w:r w:rsidRPr="007349CF">
        <w:rPr>
          <w:rFonts w:ascii="Arial" w:hAnsi="Arial" w:cs="Arial"/>
          <w:sz w:val="22"/>
          <w:szCs w:val="22"/>
          <w:lang w:val="hr-HR"/>
        </w:rPr>
        <w:t>ovog</w:t>
      </w:r>
      <w:r w:rsidR="00CA76B4" w:rsidRPr="007349CF">
        <w:rPr>
          <w:rFonts w:ascii="Arial" w:hAnsi="Arial" w:cs="Arial"/>
          <w:sz w:val="22"/>
          <w:szCs w:val="22"/>
          <w:lang w:val="hr-HR"/>
        </w:rPr>
        <w:t xml:space="preserve"> </w:t>
      </w:r>
      <w:r w:rsidR="00B65F81" w:rsidRPr="007349CF">
        <w:rPr>
          <w:rFonts w:ascii="Arial" w:hAnsi="Arial" w:cs="Arial"/>
          <w:sz w:val="22"/>
          <w:szCs w:val="22"/>
          <w:lang w:val="hr-HR"/>
        </w:rPr>
        <w:t>Poziv</w:t>
      </w:r>
      <w:r w:rsidRPr="007349CF">
        <w:rPr>
          <w:rFonts w:ascii="Arial" w:hAnsi="Arial" w:cs="Arial"/>
          <w:sz w:val="22"/>
          <w:szCs w:val="22"/>
          <w:lang w:val="hr-HR"/>
        </w:rPr>
        <w:t>a</w:t>
      </w:r>
      <w:r w:rsidR="00CA76B4" w:rsidRPr="007349CF">
        <w:rPr>
          <w:rFonts w:ascii="Arial" w:hAnsi="Arial" w:cs="Arial"/>
          <w:sz w:val="22"/>
          <w:szCs w:val="22"/>
          <w:lang w:val="hr-HR"/>
        </w:rPr>
        <w:t xml:space="preserve">, </w:t>
      </w:r>
      <w:r w:rsidRPr="007349CF">
        <w:rPr>
          <w:rFonts w:ascii="Arial" w:hAnsi="Arial" w:cs="Arial"/>
          <w:color w:val="000000" w:themeColor="text1"/>
          <w:sz w:val="22"/>
          <w:szCs w:val="22"/>
          <w:lang w:val="hr-HR"/>
        </w:rPr>
        <w:t xml:space="preserve">Iskazi interesa </w:t>
      </w:r>
      <w:r w:rsidRPr="007349CF">
        <w:rPr>
          <w:rFonts w:ascii="Arial" w:hAnsi="Arial" w:cs="Arial"/>
          <w:sz w:val="22"/>
          <w:szCs w:val="22"/>
          <w:lang w:val="hr-HR"/>
        </w:rPr>
        <w:t xml:space="preserve">moraju sadržavati identifikaciju Prijavitelja i tražene informacije </w:t>
      </w:r>
      <w:r w:rsidR="00CA76B4" w:rsidRPr="007349CF">
        <w:rPr>
          <w:rFonts w:ascii="Arial" w:hAnsi="Arial" w:cs="Arial"/>
          <w:sz w:val="22"/>
          <w:szCs w:val="22"/>
          <w:lang w:val="hr-HR"/>
        </w:rPr>
        <w:t>(</w:t>
      </w:r>
      <w:r w:rsidRPr="007349CF">
        <w:rPr>
          <w:rFonts w:ascii="Arial" w:hAnsi="Arial" w:cs="Arial"/>
          <w:sz w:val="22"/>
          <w:szCs w:val="22"/>
          <w:lang w:val="hr-HR"/>
        </w:rPr>
        <w:t>„Zahtjevi za informacije“</w:t>
      </w:r>
      <w:r w:rsidR="00CA76B4" w:rsidRPr="007349CF">
        <w:rPr>
          <w:rFonts w:ascii="Arial" w:hAnsi="Arial" w:cs="Arial"/>
          <w:sz w:val="22"/>
          <w:szCs w:val="22"/>
          <w:lang w:val="hr-HR"/>
        </w:rPr>
        <w:t xml:space="preserve">), </w:t>
      </w:r>
      <w:r w:rsidRPr="007349CF">
        <w:rPr>
          <w:rFonts w:ascii="Arial" w:hAnsi="Arial" w:cs="Arial"/>
          <w:sz w:val="22"/>
          <w:szCs w:val="22"/>
          <w:lang w:val="hr-HR"/>
        </w:rPr>
        <w:t>zajedno s popratnim dokumentima</w:t>
      </w:r>
      <w:r w:rsidR="00CA76B4" w:rsidRPr="007349CF">
        <w:rPr>
          <w:rFonts w:ascii="Arial" w:hAnsi="Arial" w:cs="Arial"/>
          <w:sz w:val="22"/>
          <w:szCs w:val="22"/>
          <w:lang w:val="hr-HR"/>
        </w:rPr>
        <w:t xml:space="preserve">. </w:t>
      </w:r>
    </w:p>
    <w:p w14:paraId="7C90186E" w14:textId="77777777" w:rsidR="00D04629" w:rsidRPr="007349CF" w:rsidRDefault="00D04629" w:rsidP="00FB0504">
      <w:pPr>
        <w:pStyle w:val="Default"/>
        <w:jc w:val="both"/>
        <w:rPr>
          <w:rFonts w:ascii="Arial" w:hAnsi="Arial" w:cs="Arial"/>
          <w:sz w:val="22"/>
          <w:szCs w:val="22"/>
          <w:lang w:val="hr-HR"/>
        </w:rPr>
      </w:pPr>
    </w:p>
    <w:p w14:paraId="77162CDF" w14:textId="77777777" w:rsidR="008435D0" w:rsidRPr="007349CF" w:rsidRDefault="00FB0504" w:rsidP="00FB0504">
      <w:pPr>
        <w:pStyle w:val="Default"/>
        <w:jc w:val="both"/>
        <w:rPr>
          <w:rFonts w:ascii="Arial" w:hAnsi="Arial" w:cs="Arial"/>
          <w:b/>
          <w:sz w:val="22"/>
          <w:szCs w:val="22"/>
          <w:lang w:val="hr-HR"/>
        </w:rPr>
      </w:pPr>
      <w:r w:rsidRPr="007349CF">
        <w:rPr>
          <w:rFonts w:ascii="Arial" w:hAnsi="Arial" w:cs="Arial"/>
          <w:b/>
          <w:sz w:val="22"/>
          <w:szCs w:val="22"/>
          <w:lang w:val="hr-HR"/>
        </w:rPr>
        <w:t>Zajedničke prijave nisu dopuštene</w:t>
      </w:r>
      <w:r w:rsidR="008435D0" w:rsidRPr="007349CF">
        <w:rPr>
          <w:rFonts w:ascii="Arial" w:hAnsi="Arial" w:cs="Arial"/>
          <w:b/>
          <w:sz w:val="22"/>
          <w:szCs w:val="22"/>
          <w:lang w:val="hr-HR"/>
        </w:rPr>
        <w:t xml:space="preserve">. </w:t>
      </w:r>
    </w:p>
    <w:p w14:paraId="28C45696" w14:textId="77777777" w:rsidR="00E34A98" w:rsidRPr="007349CF" w:rsidRDefault="00E34A98" w:rsidP="00FB0504">
      <w:pPr>
        <w:pStyle w:val="Default"/>
        <w:jc w:val="both"/>
        <w:rPr>
          <w:rFonts w:ascii="Arial" w:hAnsi="Arial" w:cs="Arial"/>
          <w:b/>
          <w:sz w:val="22"/>
          <w:szCs w:val="22"/>
          <w:lang w:val="hr-HR"/>
        </w:rPr>
      </w:pPr>
    </w:p>
    <w:p w14:paraId="0F3A6E5E" w14:textId="77777777" w:rsidR="00CA76B4" w:rsidRPr="007349CF" w:rsidRDefault="00084689" w:rsidP="00FB0504">
      <w:pPr>
        <w:pStyle w:val="Default"/>
        <w:jc w:val="both"/>
        <w:rPr>
          <w:rFonts w:ascii="Arial" w:hAnsi="Arial" w:cs="Arial"/>
          <w:b/>
          <w:sz w:val="22"/>
          <w:szCs w:val="22"/>
          <w:lang w:val="hr-HR"/>
        </w:rPr>
      </w:pPr>
      <w:r w:rsidRPr="007349CF">
        <w:rPr>
          <w:rFonts w:ascii="Arial" w:hAnsi="Arial" w:cs="Arial"/>
          <w:b/>
          <w:sz w:val="22"/>
          <w:szCs w:val="22"/>
          <w:lang w:val="hr-HR"/>
        </w:rPr>
        <w:t>5</w:t>
      </w:r>
      <w:r w:rsidR="00CA76B4" w:rsidRPr="007349CF">
        <w:rPr>
          <w:rFonts w:ascii="Arial" w:hAnsi="Arial" w:cs="Arial"/>
          <w:b/>
          <w:sz w:val="22"/>
          <w:szCs w:val="22"/>
          <w:lang w:val="hr-HR"/>
        </w:rPr>
        <w:t xml:space="preserve">. </w:t>
      </w:r>
      <w:r w:rsidR="00A91826" w:rsidRPr="007349CF">
        <w:rPr>
          <w:rFonts w:ascii="Arial" w:hAnsi="Arial" w:cs="Arial"/>
          <w:b/>
          <w:sz w:val="22"/>
          <w:szCs w:val="22"/>
          <w:lang w:val="hr-HR"/>
        </w:rPr>
        <w:tab/>
      </w:r>
      <w:r w:rsidR="00FB0504" w:rsidRPr="007349CF">
        <w:rPr>
          <w:rFonts w:ascii="Arial" w:hAnsi="Arial" w:cs="Arial"/>
          <w:b/>
          <w:sz w:val="22"/>
          <w:szCs w:val="22"/>
          <w:lang w:val="hr-HR"/>
        </w:rPr>
        <w:t>Postupak odabira</w:t>
      </w:r>
      <w:r w:rsidR="00CA76B4" w:rsidRPr="007349CF">
        <w:rPr>
          <w:rFonts w:ascii="Arial" w:hAnsi="Arial" w:cs="Arial"/>
          <w:b/>
          <w:sz w:val="22"/>
          <w:szCs w:val="22"/>
          <w:lang w:val="hr-HR"/>
        </w:rPr>
        <w:t xml:space="preserve"> </w:t>
      </w:r>
    </w:p>
    <w:p w14:paraId="4FA8D6A0" w14:textId="77777777" w:rsidR="00DB7F6D" w:rsidRPr="007349CF" w:rsidRDefault="00DB7F6D" w:rsidP="00FB0504">
      <w:pPr>
        <w:pStyle w:val="Default"/>
        <w:jc w:val="both"/>
        <w:rPr>
          <w:rFonts w:ascii="Arial" w:hAnsi="Arial" w:cs="Arial"/>
          <w:sz w:val="22"/>
          <w:szCs w:val="22"/>
          <w:lang w:val="hr-HR"/>
        </w:rPr>
      </w:pPr>
    </w:p>
    <w:p w14:paraId="1B3EA719" w14:textId="77777777" w:rsidR="00CA76B4" w:rsidRPr="007349CF" w:rsidRDefault="00CD007D" w:rsidP="00FB0504">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Financijske institucije</w:t>
      </w:r>
      <w:r w:rsidR="00A91826"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će se odabrati putem objektivnog postupka</w:t>
      </w:r>
      <w:r w:rsidR="00CA76B4"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 xml:space="preserve">odabira vodeći računa o općim načelima </w:t>
      </w:r>
      <w:r w:rsidR="00CA76B4" w:rsidRPr="007349CF">
        <w:rPr>
          <w:rFonts w:ascii="Arial" w:hAnsi="Arial" w:cs="Arial"/>
          <w:color w:val="000000" w:themeColor="text1"/>
          <w:sz w:val="22"/>
          <w:szCs w:val="22"/>
          <w:lang w:val="hr-HR"/>
        </w:rPr>
        <w:t>transparen</w:t>
      </w:r>
      <w:r w:rsidR="00E73314" w:rsidRPr="007349CF">
        <w:rPr>
          <w:rFonts w:ascii="Arial" w:hAnsi="Arial" w:cs="Arial"/>
          <w:color w:val="000000" w:themeColor="text1"/>
          <w:sz w:val="22"/>
          <w:szCs w:val="22"/>
          <w:lang w:val="hr-HR"/>
        </w:rPr>
        <w:t>tnosti, jednakog tretmana i nediskriminacije</w:t>
      </w:r>
      <w:r w:rsidR="00CA76B4"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u skladu s</w:t>
      </w:r>
      <w:r w:rsidR="00CA76B4" w:rsidRPr="007349CF">
        <w:rPr>
          <w:rFonts w:ascii="Arial" w:hAnsi="Arial" w:cs="Arial"/>
          <w:color w:val="000000" w:themeColor="text1"/>
          <w:sz w:val="22"/>
          <w:szCs w:val="22"/>
          <w:lang w:val="hr-HR"/>
        </w:rPr>
        <w:t xml:space="preserve"> E</w:t>
      </w:r>
      <w:r w:rsidR="005F43CE" w:rsidRPr="007349CF">
        <w:rPr>
          <w:rFonts w:ascii="Arial" w:hAnsi="Arial" w:cs="Arial"/>
          <w:color w:val="000000" w:themeColor="text1"/>
          <w:sz w:val="22"/>
          <w:szCs w:val="22"/>
          <w:lang w:val="hr-HR"/>
        </w:rPr>
        <w:t>SIF</w:t>
      </w:r>
      <w:r w:rsidR="00084689" w:rsidRPr="007349CF">
        <w:rPr>
          <w:rFonts w:ascii="Arial" w:hAnsi="Arial" w:cs="Arial"/>
          <w:color w:val="000000" w:themeColor="text1"/>
          <w:sz w:val="22"/>
          <w:szCs w:val="22"/>
          <w:lang w:val="hr-HR"/>
        </w:rPr>
        <w:t xml:space="preserve"> </w:t>
      </w:r>
      <w:r w:rsidR="00E73314" w:rsidRPr="007349CF">
        <w:rPr>
          <w:rFonts w:ascii="Arial" w:hAnsi="Arial" w:cs="Arial"/>
          <w:color w:val="000000" w:themeColor="text1"/>
          <w:sz w:val="22"/>
          <w:szCs w:val="22"/>
          <w:lang w:val="hr-HR"/>
        </w:rPr>
        <w:t>pravilima te najboljim poslovnim i tržišnim praksama</w:t>
      </w:r>
      <w:r w:rsidR="00CA76B4" w:rsidRPr="007349CF">
        <w:rPr>
          <w:rFonts w:ascii="Arial" w:hAnsi="Arial" w:cs="Arial"/>
          <w:color w:val="000000" w:themeColor="text1"/>
          <w:sz w:val="22"/>
          <w:szCs w:val="22"/>
          <w:lang w:val="hr-HR"/>
        </w:rPr>
        <w:t xml:space="preserve">. </w:t>
      </w:r>
    </w:p>
    <w:p w14:paraId="4D9D1DEF" w14:textId="77777777" w:rsidR="00BA2424" w:rsidRPr="007349CF" w:rsidRDefault="00BA2424" w:rsidP="00FB0504">
      <w:pPr>
        <w:pStyle w:val="Default"/>
        <w:jc w:val="both"/>
        <w:rPr>
          <w:rFonts w:ascii="Arial" w:hAnsi="Arial" w:cs="Arial"/>
          <w:color w:val="000000" w:themeColor="text1"/>
          <w:sz w:val="22"/>
          <w:szCs w:val="22"/>
          <w:lang w:val="hr-HR"/>
        </w:rPr>
      </w:pPr>
    </w:p>
    <w:p w14:paraId="1F9227FA" w14:textId="77777777" w:rsidR="00CA76B4" w:rsidRPr="007349CF" w:rsidRDefault="00E73314" w:rsidP="00FB0504">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Nakon zaprimanja Iskaza interesa</w:t>
      </w:r>
      <w:r w:rsidR="00CA76B4" w:rsidRPr="007349CF">
        <w:rPr>
          <w:rFonts w:ascii="Arial" w:hAnsi="Arial" w:cs="Arial"/>
          <w:color w:val="000000" w:themeColor="text1"/>
          <w:sz w:val="22"/>
          <w:szCs w:val="22"/>
          <w:lang w:val="hr-HR"/>
        </w:rPr>
        <w:t xml:space="preserve">, </w:t>
      </w:r>
      <w:r w:rsidR="005F43CE" w:rsidRPr="007349CF">
        <w:rPr>
          <w:rFonts w:ascii="Arial" w:hAnsi="Arial" w:cs="Arial"/>
          <w:color w:val="000000" w:themeColor="text1"/>
          <w:sz w:val="22"/>
          <w:szCs w:val="22"/>
          <w:lang w:val="hr-HR"/>
        </w:rPr>
        <w:t xml:space="preserve">HAMAG-BICRO </w:t>
      </w:r>
      <w:r w:rsidR="00C63D86" w:rsidRPr="007349CF">
        <w:rPr>
          <w:rFonts w:ascii="Arial" w:hAnsi="Arial" w:cs="Arial"/>
          <w:color w:val="000000" w:themeColor="text1"/>
          <w:sz w:val="22"/>
          <w:szCs w:val="22"/>
          <w:lang w:val="hr-HR"/>
        </w:rPr>
        <w:t>će</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Prijavitelje odabrati putem procesa</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 xml:space="preserve">odabira prikazanog u sljedećim </w:t>
      </w:r>
      <w:r w:rsidR="00CD1895" w:rsidRPr="007349CF">
        <w:rPr>
          <w:rFonts w:ascii="Arial" w:hAnsi="Arial" w:cs="Arial"/>
          <w:color w:val="000000" w:themeColor="text1"/>
          <w:sz w:val="22"/>
          <w:szCs w:val="22"/>
          <w:lang w:val="hr-HR"/>
        </w:rPr>
        <w:t>točkama</w:t>
      </w:r>
      <w:r w:rsidR="00C63D86" w:rsidRPr="007349CF">
        <w:rPr>
          <w:rFonts w:ascii="Arial" w:hAnsi="Arial" w:cs="Arial"/>
          <w:color w:val="000000" w:themeColor="text1"/>
          <w:sz w:val="22"/>
          <w:szCs w:val="22"/>
          <w:lang w:val="hr-HR"/>
        </w:rPr>
        <w:t xml:space="preserve"> ovog </w:t>
      </w:r>
      <w:r w:rsidR="00B65F81" w:rsidRPr="007349CF">
        <w:rPr>
          <w:rFonts w:ascii="Arial" w:hAnsi="Arial" w:cs="Arial"/>
          <w:color w:val="000000" w:themeColor="text1"/>
          <w:sz w:val="22"/>
          <w:szCs w:val="22"/>
          <w:lang w:val="hr-HR"/>
        </w:rPr>
        <w:t>Poziv</w:t>
      </w:r>
      <w:r w:rsidR="00C63D86" w:rsidRPr="007349CF">
        <w:rPr>
          <w:rFonts w:ascii="Arial" w:hAnsi="Arial" w:cs="Arial"/>
          <w:color w:val="000000" w:themeColor="text1"/>
          <w:sz w:val="22"/>
          <w:szCs w:val="22"/>
          <w:lang w:val="hr-HR"/>
        </w:rPr>
        <w:t>a</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Postupak odabira obuhvaća</w:t>
      </w:r>
      <w:r w:rsidR="00CA76B4" w:rsidRPr="007349CF">
        <w:rPr>
          <w:rFonts w:ascii="Arial" w:hAnsi="Arial" w:cs="Arial"/>
          <w:color w:val="000000" w:themeColor="text1"/>
          <w:sz w:val="22"/>
          <w:szCs w:val="22"/>
          <w:lang w:val="hr-HR"/>
        </w:rPr>
        <w:t xml:space="preserve">: </w:t>
      </w:r>
    </w:p>
    <w:p w14:paraId="4514669B" w14:textId="77777777" w:rsidR="00BA2424" w:rsidRPr="007349CF" w:rsidRDefault="00BA2424" w:rsidP="00FB0504">
      <w:pPr>
        <w:pStyle w:val="Default"/>
        <w:jc w:val="both"/>
        <w:rPr>
          <w:rFonts w:ascii="Arial" w:hAnsi="Arial" w:cs="Arial"/>
          <w:color w:val="000000" w:themeColor="text1"/>
          <w:sz w:val="22"/>
          <w:szCs w:val="22"/>
          <w:lang w:val="hr-HR"/>
        </w:rPr>
      </w:pPr>
    </w:p>
    <w:p w14:paraId="3AB11868" w14:textId="34592594" w:rsidR="00CA76B4" w:rsidRPr="007349CF" w:rsidRDefault="00CD1895" w:rsidP="00BB0B3A">
      <w:pPr>
        <w:pStyle w:val="Default"/>
        <w:numPr>
          <w:ilvl w:val="0"/>
          <w:numId w:val="23"/>
        </w:numPr>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provjeru</w:t>
      </w:r>
      <w:r w:rsidR="00C63D86" w:rsidRPr="007349CF">
        <w:rPr>
          <w:rFonts w:ascii="Arial" w:hAnsi="Arial" w:cs="Arial"/>
          <w:color w:val="000000" w:themeColor="text1"/>
          <w:sz w:val="22"/>
          <w:szCs w:val="22"/>
          <w:lang w:val="hr-HR"/>
        </w:rPr>
        <w:t xml:space="preserve"> </w:t>
      </w:r>
      <w:r w:rsidR="00027EE4" w:rsidRPr="007349CF">
        <w:rPr>
          <w:rFonts w:ascii="Arial" w:hAnsi="Arial" w:cs="Arial"/>
          <w:color w:val="000000" w:themeColor="text1"/>
          <w:sz w:val="22"/>
          <w:szCs w:val="22"/>
          <w:lang w:val="hr-HR"/>
        </w:rPr>
        <w:t>usklađenosti</w:t>
      </w:r>
      <w:r w:rsidR="00C63D86" w:rsidRPr="007349CF">
        <w:rPr>
          <w:rFonts w:ascii="Arial" w:hAnsi="Arial" w:cs="Arial"/>
          <w:color w:val="000000" w:themeColor="text1"/>
          <w:sz w:val="22"/>
          <w:szCs w:val="22"/>
          <w:lang w:val="hr-HR"/>
        </w:rPr>
        <w:t xml:space="preserve"> Iskaza interesa s formalnim kriterijima</w:t>
      </w:r>
      <w:r w:rsidR="00CA76B4" w:rsidRPr="007349CF">
        <w:rPr>
          <w:rFonts w:ascii="Arial" w:hAnsi="Arial" w:cs="Arial"/>
          <w:color w:val="000000" w:themeColor="text1"/>
          <w:sz w:val="22"/>
          <w:szCs w:val="22"/>
          <w:lang w:val="hr-HR"/>
        </w:rPr>
        <w:t xml:space="preserve">, </w:t>
      </w:r>
    </w:p>
    <w:p w14:paraId="6DB26F36" w14:textId="7B101DEE" w:rsidR="00317F8D" w:rsidRPr="007349CF" w:rsidRDefault="00CD1895" w:rsidP="00BB0B3A">
      <w:pPr>
        <w:pStyle w:val="Default"/>
        <w:numPr>
          <w:ilvl w:val="0"/>
          <w:numId w:val="23"/>
        </w:numPr>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o</w:t>
      </w:r>
      <w:r w:rsidR="00C63D86" w:rsidRPr="007349CF">
        <w:rPr>
          <w:rFonts w:ascii="Arial" w:hAnsi="Arial" w:cs="Arial"/>
          <w:color w:val="000000" w:themeColor="text1"/>
          <w:sz w:val="22"/>
          <w:szCs w:val="22"/>
          <w:lang w:val="hr-HR"/>
        </w:rPr>
        <w:t>cjenu Iskaza interesa na temelju</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kriterija za ocjenjivanje</w:t>
      </w:r>
      <w:r w:rsidR="00317F8D" w:rsidRPr="007349CF">
        <w:rPr>
          <w:rFonts w:ascii="Arial" w:hAnsi="Arial" w:cs="Arial"/>
          <w:color w:val="000000" w:themeColor="text1"/>
          <w:sz w:val="22"/>
          <w:szCs w:val="22"/>
          <w:lang w:val="hr-HR"/>
        </w:rPr>
        <w:t>,</w:t>
      </w:r>
    </w:p>
    <w:p w14:paraId="37022E4A" w14:textId="7C0F8938" w:rsidR="00CA76B4" w:rsidRPr="007349CF" w:rsidRDefault="00BB0B3A" w:rsidP="00BB0B3A">
      <w:pPr>
        <w:pStyle w:val="Default"/>
        <w:numPr>
          <w:ilvl w:val="0"/>
          <w:numId w:val="23"/>
        </w:numPr>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r</w:t>
      </w:r>
      <w:r w:rsidR="00317F8D" w:rsidRPr="007349CF">
        <w:rPr>
          <w:rFonts w:ascii="Arial" w:hAnsi="Arial" w:cs="Arial"/>
          <w:color w:val="000000" w:themeColor="text1"/>
          <w:sz w:val="22"/>
          <w:szCs w:val="22"/>
          <w:lang w:val="hr-HR"/>
        </w:rPr>
        <w:t xml:space="preserve">angiranje </w:t>
      </w:r>
      <w:r w:rsidRPr="007349CF">
        <w:rPr>
          <w:rFonts w:ascii="Arial" w:hAnsi="Arial" w:cs="Arial"/>
          <w:color w:val="000000" w:themeColor="text1"/>
          <w:sz w:val="22"/>
          <w:szCs w:val="22"/>
          <w:lang w:val="hr-HR"/>
        </w:rPr>
        <w:t xml:space="preserve">ponuda odnosno Iskaza interesa </w:t>
      </w:r>
    </w:p>
    <w:p w14:paraId="69B6A4EC" w14:textId="77777777" w:rsidR="00CA76B4" w:rsidRPr="007349CF" w:rsidRDefault="00CA76B4" w:rsidP="00FB0504">
      <w:pPr>
        <w:pStyle w:val="Default"/>
        <w:jc w:val="both"/>
        <w:rPr>
          <w:rFonts w:ascii="Arial" w:hAnsi="Arial" w:cs="Arial"/>
          <w:color w:val="000000" w:themeColor="text1"/>
          <w:sz w:val="22"/>
          <w:szCs w:val="22"/>
          <w:lang w:val="hr-HR"/>
        </w:rPr>
      </w:pPr>
    </w:p>
    <w:p w14:paraId="1EE1DBFC" w14:textId="6F9BD352" w:rsidR="00CA76B4" w:rsidRPr="007349CF" w:rsidRDefault="00BB0B3A" w:rsidP="00FB0504">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Postupak odabira Financijskih institucija za suradnju u provedbi Programa</w:t>
      </w:r>
      <w:r w:rsidR="00C63D86" w:rsidRPr="007349CF">
        <w:rPr>
          <w:rFonts w:ascii="Arial" w:hAnsi="Arial" w:cs="Arial"/>
          <w:color w:val="000000" w:themeColor="text1"/>
          <w:sz w:val="22"/>
          <w:szCs w:val="22"/>
          <w:lang w:val="hr-HR"/>
        </w:rPr>
        <w:t xml:space="preserve"> </w:t>
      </w:r>
      <w:r w:rsidRPr="007349CF">
        <w:rPr>
          <w:rFonts w:ascii="Arial" w:hAnsi="Arial" w:cs="Arial"/>
          <w:color w:val="000000" w:themeColor="text1"/>
          <w:sz w:val="22"/>
          <w:szCs w:val="22"/>
          <w:lang w:val="hr-HR"/>
        </w:rPr>
        <w:t>završava</w:t>
      </w:r>
      <w:r w:rsidR="006152AC" w:rsidRPr="007349CF">
        <w:rPr>
          <w:rFonts w:ascii="Arial" w:hAnsi="Arial" w:cs="Arial"/>
          <w:color w:val="000000" w:themeColor="text1"/>
          <w:sz w:val="22"/>
          <w:szCs w:val="22"/>
          <w:lang w:val="hr-HR"/>
        </w:rPr>
        <w:t xml:space="preserve"> sklapanjem sporazum</w:t>
      </w:r>
      <w:r w:rsidR="00CD1895" w:rsidRPr="007349CF">
        <w:rPr>
          <w:rFonts w:ascii="Arial" w:hAnsi="Arial" w:cs="Arial"/>
          <w:color w:val="000000" w:themeColor="text1"/>
          <w:sz w:val="22"/>
          <w:szCs w:val="22"/>
          <w:lang w:val="hr-HR"/>
        </w:rPr>
        <w:t>a</w:t>
      </w:r>
      <w:r w:rsidR="00CA76B4" w:rsidRPr="007349CF">
        <w:rPr>
          <w:rFonts w:ascii="Arial" w:hAnsi="Arial" w:cs="Arial"/>
          <w:color w:val="000000" w:themeColor="text1"/>
          <w:sz w:val="22"/>
          <w:szCs w:val="22"/>
          <w:lang w:val="hr-HR"/>
        </w:rPr>
        <w:t xml:space="preserve">. </w:t>
      </w:r>
    </w:p>
    <w:p w14:paraId="5F0BE485" w14:textId="77777777" w:rsidR="0042620D" w:rsidRPr="007349CF" w:rsidRDefault="0042620D" w:rsidP="00FB0504">
      <w:pPr>
        <w:pStyle w:val="Default"/>
        <w:jc w:val="both"/>
        <w:rPr>
          <w:rFonts w:ascii="Arial" w:hAnsi="Arial" w:cs="Arial"/>
          <w:color w:val="000000" w:themeColor="text1"/>
          <w:sz w:val="22"/>
          <w:szCs w:val="22"/>
          <w:lang w:val="hr-HR"/>
        </w:rPr>
      </w:pPr>
    </w:p>
    <w:p w14:paraId="664A9C9A" w14:textId="77777777" w:rsidR="00CA76B4" w:rsidRPr="007349CF" w:rsidRDefault="002E16A3" w:rsidP="00FB0504">
      <w:pPr>
        <w:pStyle w:val="Default"/>
        <w:jc w:val="both"/>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5</w:t>
      </w:r>
      <w:r w:rsidR="00CA76B4" w:rsidRPr="007349CF">
        <w:rPr>
          <w:rFonts w:ascii="Arial" w:hAnsi="Arial" w:cs="Arial"/>
          <w:b/>
          <w:color w:val="000000" w:themeColor="text1"/>
          <w:sz w:val="22"/>
          <w:szCs w:val="22"/>
          <w:lang w:val="hr-HR"/>
        </w:rPr>
        <w:t>.1. Formal</w:t>
      </w:r>
      <w:r w:rsidR="009447F6" w:rsidRPr="007349CF">
        <w:rPr>
          <w:rFonts w:ascii="Arial" w:hAnsi="Arial" w:cs="Arial"/>
          <w:b/>
          <w:color w:val="000000" w:themeColor="text1"/>
          <w:sz w:val="22"/>
          <w:szCs w:val="22"/>
          <w:lang w:val="hr-HR"/>
        </w:rPr>
        <w:t>na</w:t>
      </w:r>
      <w:r w:rsidR="00CA76B4" w:rsidRPr="007349CF">
        <w:rPr>
          <w:rFonts w:ascii="Arial" w:hAnsi="Arial" w:cs="Arial"/>
          <w:b/>
          <w:color w:val="000000" w:themeColor="text1"/>
          <w:sz w:val="22"/>
          <w:szCs w:val="22"/>
          <w:lang w:val="hr-HR"/>
        </w:rPr>
        <w:t xml:space="preserve"> </w:t>
      </w:r>
      <w:r w:rsidR="009447F6" w:rsidRPr="007349CF">
        <w:rPr>
          <w:rFonts w:ascii="Arial" w:hAnsi="Arial" w:cs="Arial"/>
          <w:b/>
          <w:color w:val="000000" w:themeColor="text1"/>
          <w:sz w:val="22"/>
          <w:szCs w:val="22"/>
          <w:lang w:val="hr-HR"/>
        </w:rPr>
        <w:t>ocjena</w:t>
      </w:r>
      <w:r w:rsidR="00CA76B4" w:rsidRPr="007349CF">
        <w:rPr>
          <w:rFonts w:ascii="Arial" w:hAnsi="Arial" w:cs="Arial"/>
          <w:b/>
          <w:color w:val="000000" w:themeColor="text1"/>
          <w:sz w:val="22"/>
          <w:szCs w:val="22"/>
          <w:lang w:val="hr-HR"/>
        </w:rPr>
        <w:t xml:space="preserve"> </w:t>
      </w:r>
    </w:p>
    <w:p w14:paraId="5766BB6D" w14:textId="77777777" w:rsidR="00DB7F6D" w:rsidRPr="007349CF" w:rsidRDefault="00DB7F6D" w:rsidP="00CA76B4">
      <w:pPr>
        <w:pStyle w:val="Default"/>
        <w:rPr>
          <w:rFonts w:ascii="Arial" w:hAnsi="Arial" w:cs="Arial"/>
          <w:color w:val="000000" w:themeColor="text1"/>
          <w:sz w:val="22"/>
          <w:szCs w:val="22"/>
          <w:lang w:val="hr-HR"/>
        </w:rPr>
      </w:pPr>
    </w:p>
    <w:p w14:paraId="1B312BA0" w14:textId="42A75FE5" w:rsidR="00CA76B4" w:rsidRPr="007349CF" w:rsidRDefault="00E34A98" w:rsidP="00E34A98">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 xml:space="preserve">HAMAG-BICRO </w:t>
      </w:r>
      <w:r w:rsidR="007E635C" w:rsidRPr="007349CF">
        <w:rPr>
          <w:rFonts w:ascii="Arial" w:hAnsi="Arial" w:cs="Arial"/>
          <w:color w:val="000000" w:themeColor="text1"/>
          <w:sz w:val="22"/>
          <w:szCs w:val="22"/>
          <w:lang w:val="hr-HR"/>
        </w:rPr>
        <w:t xml:space="preserve">će ocijeniti je li Iskaz interesa za </w:t>
      </w:r>
      <w:r w:rsidR="00DE40D4" w:rsidRPr="007349CF">
        <w:rPr>
          <w:rFonts w:ascii="Arial" w:hAnsi="Arial" w:cs="Arial"/>
          <w:color w:val="000000" w:themeColor="text1"/>
          <w:sz w:val="22"/>
          <w:szCs w:val="22"/>
          <w:lang w:val="hr-HR"/>
        </w:rPr>
        <w:t>Program</w:t>
      </w:r>
      <w:r w:rsidRPr="007349CF">
        <w:rPr>
          <w:rFonts w:ascii="Arial" w:hAnsi="Arial" w:cs="Arial"/>
          <w:color w:val="000000" w:themeColor="text1"/>
          <w:sz w:val="22"/>
          <w:szCs w:val="22"/>
          <w:lang w:val="hr-HR"/>
        </w:rPr>
        <w:t xml:space="preserve"> </w:t>
      </w:r>
      <w:r w:rsidR="007E635C" w:rsidRPr="007349CF">
        <w:rPr>
          <w:rFonts w:ascii="Arial" w:hAnsi="Arial" w:cs="Arial"/>
          <w:color w:val="000000" w:themeColor="text1"/>
          <w:sz w:val="22"/>
          <w:szCs w:val="22"/>
          <w:lang w:val="hr-HR"/>
        </w:rPr>
        <w:t>podnesen i pripremljen u skladu s odredbama</w:t>
      </w:r>
      <w:r w:rsidR="00CA76B4" w:rsidRPr="007349CF">
        <w:rPr>
          <w:rFonts w:ascii="Arial" w:hAnsi="Arial" w:cs="Arial"/>
          <w:color w:val="000000" w:themeColor="text1"/>
          <w:sz w:val="22"/>
          <w:szCs w:val="22"/>
          <w:lang w:val="hr-HR"/>
        </w:rPr>
        <w:t xml:space="preserve"> </w:t>
      </w:r>
      <w:r w:rsidR="00C63D86" w:rsidRPr="007349CF">
        <w:rPr>
          <w:rFonts w:ascii="Arial" w:hAnsi="Arial" w:cs="Arial"/>
          <w:color w:val="000000" w:themeColor="text1"/>
          <w:sz w:val="22"/>
          <w:szCs w:val="22"/>
          <w:lang w:val="hr-HR"/>
        </w:rPr>
        <w:t>ovog</w:t>
      </w:r>
      <w:r w:rsidR="00CA76B4" w:rsidRPr="007349CF">
        <w:rPr>
          <w:rFonts w:ascii="Arial" w:hAnsi="Arial" w:cs="Arial"/>
          <w:color w:val="000000" w:themeColor="text1"/>
          <w:sz w:val="22"/>
          <w:szCs w:val="22"/>
          <w:lang w:val="hr-HR"/>
        </w:rPr>
        <w:t xml:space="preserve"> </w:t>
      </w:r>
      <w:r w:rsidR="00B65F81" w:rsidRPr="007349CF">
        <w:rPr>
          <w:rFonts w:ascii="Arial" w:hAnsi="Arial" w:cs="Arial"/>
          <w:color w:val="000000" w:themeColor="text1"/>
          <w:sz w:val="22"/>
          <w:szCs w:val="22"/>
          <w:lang w:val="hr-HR"/>
        </w:rPr>
        <w:t>Poziv</w:t>
      </w:r>
      <w:r w:rsidR="00C63D86" w:rsidRPr="007349CF">
        <w:rPr>
          <w:rFonts w:ascii="Arial" w:hAnsi="Arial" w:cs="Arial"/>
          <w:color w:val="000000" w:themeColor="text1"/>
          <w:sz w:val="22"/>
          <w:szCs w:val="22"/>
          <w:lang w:val="hr-HR"/>
        </w:rPr>
        <w:t>a</w:t>
      </w:r>
      <w:r w:rsidR="00CA76B4" w:rsidRPr="007349CF">
        <w:rPr>
          <w:rFonts w:ascii="Arial" w:hAnsi="Arial" w:cs="Arial"/>
          <w:color w:val="000000" w:themeColor="text1"/>
          <w:sz w:val="22"/>
          <w:szCs w:val="22"/>
          <w:lang w:val="hr-HR"/>
        </w:rPr>
        <w:t xml:space="preserve"> </w:t>
      </w:r>
      <w:r w:rsidR="007E635C" w:rsidRPr="007349CF">
        <w:rPr>
          <w:rFonts w:ascii="Arial" w:hAnsi="Arial" w:cs="Arial"/>
          <w:color w:val="000000" w:themeColor="text1"/>
          <w:sz w:val="22"/>
          <w:szCs w:val="22"/>
          <w:lang w:val="hr-HR"/>
        </w:rPr>
        <w:t xml:space="preserve">te </w:t>
      </w:r>
      <w:r w:rsidR="00BB0B3A" w:rsidRPr="007349CF">
        <w:rPr>
          <w:rFonts w:ascii="Arial" w:hAnsi="Arial" w:cs="Arial"/>
          <w:color w:val="000000" w:themeColor="text1"/>
          <w:sz w:val="22"/>
          <w:szCs w:val="22"/>
          <w:lang w:val="hr-HR"/>
        </w:rPr>
        <w:t>jesu li dostavljene tražene izjave koje uključuju potrebne</w:t>
      </w:r>
      <w:r w:rsidR="007E635C" w:rsidRPr="007349CF">
        <w:rPr>
          <w:rFonts w:ascii="Arial" w:hAnsi="Arial" w:cs="Arial"/>
          <w:color w:val="000000" w:themeColor="text1"/>
          <w:sz w:val="22"/>
          <w:szCs w:val="22"/>
          <w:lang w:val="hr-HR"/>
        </w:rPr>
        <w:t xml:space="preserve"> informacije u traženom obliku</w:t>
      </w:r>
      <w:r w:rsidR="004371BA" w:rsidRPr="007349CF">
        <w:rPr>
          <w:rFonts w:ascii="Arial" w:hAnsi="Arial" w:cs="Arial"/>
          <w:color w:val="000000" w:themeColor="text1"/>
          <w:sz w:val="22"/>
          <w:szCs w:val="22"/>
          <w:lang w:val="hr-HR"/>
        </w:rPr>
        <w:t xml:space="preserve">, </w:t>
      </w:r>
      <w:r w:rsidR="007E635C" w:rsidRPr="007349CF">
        <w:rPr>
          <w:rFonts w:ascii="Arial" w:hAnsi="Arial" w:cs="Arial"/>
          <w:color w:val="000000" w:themeColor="text1"/>
          <w:sz w:val="22"/>
          <w:szCs w:val="22"/>
          <w:lang w:val="hr-HR"/>
        </w:rPr>
        <w:t>uključujući sljedeće</w:t>
      </w:r>
      <w:r w:rsidR="004371BA" w:rsidRPr="007349CF">
        <w:rPr>
          <w:rFonts w:ascii="Arial" w:hAnsi="Arial" w:cs="Arial"/>
          <w:color w:val="000000" w:themeColor="text1"/>
          <w:sz w:val="22"/>
          <w:szCs w:val="22"/>
          <w:lang w:val="hr-HR"/>
        </w:rPr>
        <w:t>:</w:t>
      </w:r>
      <w:r w:rsidR="00CA76B4" w:rsidRPr="007349CF">
        <w:rPr>
          <w:rFonts w:ascii="Arial" w:hAnsi="Arial" w:cs="Arial"/>
          <w:color w:val="000000" w:themeColor="text1"/>
          <w:sz w:val="22"/>
          <w:szCs w:val="22"/>
          <w:lang w:val="hr-HR"/>
        </w:rPr>
        <w:t xml:space="preserve"> </w:t>
      </w:r>
    </w:p>
    <w:p w14:paraId="48636999" w14:textId="77777777" w:rsidR="004371BA" w:rsidRPr="007349CF" w:rsidRDefault="004371BA" w:rsidP="00CA76B4">
      <w:pPr>
        <w:pStyle w:val="Default"/>
        <w:rPr>
          <w:rFonts w:ascii="Arial" w:hAnsi="Arial" w:cs="Arial"/>
          <w:color w:val="000000" w:themeColor="text1"/>
          <w:sz w:val="22"/>
          <w:szCs w:val="22"/>
          <w:lang w:val="hr-HR"/>
        </w:rPr>
      </w:pPr>
    </w:p>
    <w:p w14:paraId="14C3F085" w14:textId="31111A1C" w:rsidR="00CA04F6" w:rsidRPr="007349CF" w:rsidRDefault="007D63E2" w:rsidP="00BB0B3A">
      <w:pPr>
        <w:pStyle w:val="Default"/>
        <w:numPr>
          <w:ilvl w:val="0"/>
          <w:numId w:val="6"/>
        </w:numPr>
        <w:rPr>
          <w:rFonts w:ascii="Arial" w:hAnsi="Arial" w:cs="Arial"/>
          <w:b/>
          <w:sz w:val="22"/>
          <w:szCs w:val="22"/>
          <w:lang w:val="hr-HR"/>
        </w:rPr>
      </w:pPr>
      <w:r w:rsidRPr="007349CF">
        <w:rPr>
          <w:rFonts w:ascii="Arial" w:hAnsi="Arial" w:cs="Arial"/>
          <w:sz w:val="22"/>
          <w:szCs w:val="22"/>
          <w:lang w:val="hr-HR"/>
        </w:rPr>
        <w:t xml:space="preserve">Izjava </w:t>
      </w:r>
      <w:r w:rsidR="00BB0B3A" w:rsidRPr="007349CF">
        <w:rPr>
          <w:rFonts w:ascii="Arial" w:hAnsi="Arial" w:cs="Arial"/>
          <w:sz w:val="22"/>
          <w:szCs w:val="22"/>
          <w:lang w:val="hr-HR"/>
        </w:rPr>
        <w:t>o nepostojanju situacije za isključivanje,</w:t>
      </w:r>
    </w:p>
    <w:p w14:paraId="58B17779" w14:textId="7263AB91" w:rsidR="004371BA" w:rsidRPr="007349CF" w:rsidRDefault="00BB0B3A" w:rsidP="00BB0B3A">
      <w:pPr>
        <w:pStyle w:val="Default"/>
        <w:numPr>
          <w:ilvl w:val="0"/>
          <w:numId w:val="6"/>
        </w:numPr>
        <w:rPr>
          <w:rFonts w:ascii="Arial" w:hAnsi="Arial" w:cs="Arial"/>
          <w:sz w:val="22"/>
          <w:szCs w:val="22"/>
          <w:lang w:val="hr-HR"/>
        </w:rPr>
      </w:pPr>
      <w:r w:rsidRPr="007349CF">
        <w:rPr>
          <w:rFonts w:ascii="Arial" w:hAnsi="Arial" w:cs="Arial"/>
          <w:sz w:val="22"/>
          <w:szCs w:val="22"/>
          <w:lang w:val="hr-HR"/>
        </w:rPr>
        <w:t>Izjava o ovlaštenju za provođenje relevantne provedbene zadaće na razini EU i nacionalnog zakona i politika</w:t>
      </w:r>
    </w:p>
    <w:p w14:paraId="2B414915" w14:textId="52178445" w:rsidR="004371BA" w:rsidRPr="007349CF" w:rsidRDefault="00BB0B3A" w:rsidP="00BB0B3A">
      <w:pPr>
        <w:pStyle w:val="Default"/>
        <w:numPr>
          <w:ilvl w:val="0"/>
          <w:numId w:val="6"/>
        </w:numPr>
        <w:rPr>
          <w:rFonts w:ascii="Arial" w:hAnsi="Arial" w:cs="Arial"/>
          <w:sz w:val="22"/>
          <w:szCs w:val="22"/>
          <w:lang w:val="hr-HR"/>
        </w:rPr>
      </w:pPr>
      <w:r w:rsidRPr="007349CF">
        <w:rPr>
          <w:rFonts w:ascii="Arial" w:hAnsi="Arial" w:cs="Arial"/>
          <w:sz w:val="22"/>
          <w:szCs w:val="22"/>
          <w:lang w:val="hr-HR"/>
        </w:rPr>
        <w:t>Izjava o pristanku na reviziju od strane državnog ureda za reviziju, E</w:t>
      </w:r>
      <w:r w:rsidR="007E6862" w:rsidRPr="007349CF">
        <w:rPr>
          <w:rFonts w:ascii="Arial" w:hAnsi="Arial" w:cs="Arial"/>
          <w:sz w:val="22"/>
          <w:szCs w:val="22"/>
          <w:lang w:val="hr-HR"/>
        </w:rPr>
        <w:t xml:space="preserve">uropske komisije, </w:t>
      </w:r>
      <w:r w:rsidRPr="007349CF">
        <w:rPr>
          <w:rFonts w:ascii="Arial" w:hAnsi="Arial" w:cs="Arial"/>
          <w:sz w:val="22"/>
          <w:szCs w:val="22"/>
          <w:lang w:val="hr-HR"/>
        </w:rPr>
        <w:t xml:space="preserve"> Europskog revizorskog suda</w:t>
      </w:r>
      <w:r w:rsidR="007E6862" w:rsidRPr="007349CF">
        <w:rPr>
          <w:rFonts w:ascii="Arial" w:hAnsi="Arial" w:cs="Arial"/>
          <w:sz w:val="22"/>
          <w:szCs w:val="22"/>
          <w:lang w:val="hr-HR"/>
        </w:rPr>
        <w:t xml:space="preserve"> i HAMAG-BICRO-a</w:t>
      </w:r>
      <w:r w:rsidRPr="007349CF">
        <w:rPr>
          <w:rFonts w:ascii="Arial" w:hAnsi="Arial" w:cs="Arial"/>
          <w:sz w:val="22"/>
          <w:szCs w:val="22"/>
          <w:lang w:val="hr-HR"/>
        </w:rPr>
        <w:t>.</w:t>
      </w:r>
    </w:p>
    <w:p w14:paraId="029D623B" w14:textId="77777777" w:rsidR="004371BA" w:rsidRPr="007349CF" w:rsidRDefault="004371BA" w:rsidP="004371BA">
      <w:pPr>
        <w:pStyle w:val="Default"/>
        <w:rPr>
          <w:rFonts w:ascii="Arial" w:hAnsi="Arial" w:cs="Arial"/>
          <w:sz w:val="22"/>
          <w:szCs w:val="22"/>
          <w:lang w:val="hr-HR"/>
        </w:rPr>
      </w:pPr>
    </w:p>
    <w:p w14:paraId="00231F11" w14:textId="77777777" w:rsidR="004371BA" w:rsidRPr="007349CF" w:rsidRDefault="004371BA" w:rsidP="004371BA">
      <w:pPr>
        <w:pStyle w:val="Default"/>
        <w:rPr>
          <w:rFonts w:ascii="Arial" w:hAnsi="Arial" w:cs="Arial"/>
          <w:b/>
          <w:sz w:val="22"/>
          <w:szCs w:val="22"/>
          <w:lang w:val="hr-HR"/>
        </w:rPr>
      </w:pPr>
    </w:p>
    <w:p w14:paraId="5E6B7C5B" w14:textId="77777777" w:rsidR="00CA76B4" w:rsidRPr="007349CF" w:rsidRDefault="002E16A3" w:rsidP="00CA76B4">
      <w:pPr>
        <w:pStyle w:val="Default"/>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5.2</w:t>
      </w:r>
      <w:r w:rsidR="00CA76B4" w:rsidRPr="007349CF">
        <w:rPr>
          <w:rFonts w:ascii="Arial" w:hAnsi="Arial" w:cs="Arial"/>
          <w:b/>
          <w:color w:val="000000" w:themeColor="text1"/>
          <w:sz w:val="22"/>
          <w:szCs w:val="22"/>
          <w:lang w:val="hr-HR"/>
        </w:rPr>
        <w:t xml:space="preserve">. </w:t>
      </w:r>
      <w:r w:rsidR="009447F6" w:rsidRPr="007349CF">
        <w:rPr>
          <w:rFonts w:ascii="Arial" w:hAnsi="Arial" w:cs="Arial"/>
          <w:b/>
          <w:color w:val="000000" w:themeColor="text1"/>
          <w:sz w:val="22"/>
          <w:szCs w:val="22"/>
          <w:lang w:val="hr-HR"/>
        </w:rPr>
        <w:t>Procjena kvalitete</w:t>
      </w:r>
      <w:r w:rsidR="00CA76B4" w:rsidRPr="007349CF">
        <w:rPr>
          <w:rFonts w:ascii="Arial" w:hAnsi="Arial" w:cs="Arial"/>
          <w:b/>
          <w:color w:val="000000" w:themeColor="text1"/>
          <w:sz w:val="22"/>
          <w:szCs w:val="22"/>
          <w:lang w:val="hr-HR"/>
        </w:rPr>
        <w:t xml:space="preserve"> </w:t>
      </w:r>
    </w:p>
    <w:p w14:paraId="5C8E9D34" w14:textId="77777777" w:rsidR="00EE2BDF" w:rsidRPr="007349CF" w:rsidRDefault="00EE2BDF" w:rsidP="00CA76B4">
      <w:pPr>
        <w:pStyle w:val="Default"/>
        <w:rPr>
          <w:rFonts w:ascii="Arial" w:hAnsi="Arial" w:cs="Arial"/>
          <w:color w:val="000000" w:themeColor="text1"/>
          <w:sz w:val="22"/>
          <w:szCs w:val="22"/>
          <w:lang w:val="hr-HR"/>
        </w:rPr>
      </w:pPr>
    </w:p>
    <w:p w14:paraId="6631BC90" w14:textId="2DA3612F" w:rsidR="009C37F4" w:rsidRPr="007349CF" w:rsidRDefault="007E635C" w:rsidP="00E34A98">
      <w:pPr>
        <w:pStyle w:val="Default"/>
        <w:jc w:val="both"/>
        <w:rPr>
          <w:rFonts w:ascii="Arial" w:hAnsi="Arial" w:cs="Arial"/>
          <w:color w:val="000000" w:themeColor="text1"/>
          <w:sz w:val="22"/>
          <w:szCs w:val="22"/>
          <w:lang w:val="hr-HR"/>
        </w:rPr>
      </w:pPr>
      <w:r w:rsidRPr="007349CF">
        <w:rPr>
          <w:rFonts w:ascii="Arial" w:hAnsi="Arial" w:cs="Arial"/>
          <w:color w:val="000000" w:themeColor="text1"/>
          <w:sz w:val="22"/>
          <w:szCs w:val="22"/>
          <w:lang w:val="hr-HR"/>
        </w:rPr>
        <w:t>Nakon</w:t>
      </w:r>
      <w:r w:rsidR="00CA76B4" w:rsidRPr="007349CF">
        <w:rPr>
          <w:rFonts w:ascii="Arial" w:hAnsi="Arial" w:cs="Arial"/>
          <w:color w:val="000000" w:themeColor="text1"/>
          <w:sz w:val="22"/>
          <w:szCs w:val="22"/>
          <w:lang w:val="hr-HR"/>
        </w:rPr>
        <w:t xml:space="preserve"> formal</w:t>
      </w:r>
      <w:r w:rsidRPr="007349CF">
        <w:rPr>
          <w:rFonts w:ascii="Arial" w:hAnsi="Arial" w:cs="Arial"/>
          <w:color w:val="000000" w:themeColor="text1"/>
          <w:sz w:val="22"/>
          <w:szCs w:val="22"/>
          <w:lang w:val="hr-HR"/>
        </w:rPr>
        <w:t>ne provjere zaprimljenih</w:t>
      </w:r>
      <w:r w:rsidR="00CA76B4" w:rsidRPr="007349CF">
        <w:rPr>
          <w:rFonts w:ascii="Arial" w:hAnsi="Arial" w:cs="Arial"/>
          <w:color w:val="000000" w:themeColor="text1"/>
          <w:sz w:val="22"/>
          <w:szCs w:val="22"/>
          <w:lang w:val="hr-HR"/>
        </w:rPr>
        <w:t xml:space="preserve"> </w:t>
      </w:r>
      <w:r w:rsidR="00BB0B3A" w:rsidRPr="007349CF">
        <w:rPr>
          <w:rFonts w:ascii="Arial" w:hAnsi="Arial" w:cs="Arial"/>
          <w:color w:val="000000" w:themeColor="text1"/>
          <w:sz w:val="22"/>
          <w:szCs w:val="22"/>
          <w:lang w:val="hr-HR"/>
        </w:rPr>
        <w:t>Iskaza interesa</w:t>
      </w:r>
      <w:r w:rsidRPr="007349CF">
        <w:rPr>
          <w:rFonts w:ascii="Arial" w:hAnsi="Arial" w:cs="Arial"/>
          <w:color w:val="000000" w:themeColor="text1"/>
          <w:sz w:val="22"/>
          <w:szCs w:val="22"/>
          <w:lang w:val="hr-HR"/>
        </w:rPr>
        <w:t xml:space="preserve"> od</w:t>
      </w:r>
      <w:r w:rsidR="00CA76B4" w:rsidRPr="007349CF">
        <w:rPr>
          <w:rFonts w:ascii="Arial" w:hAnsi="Arial" w:cs="Arial"/>
          <w:color w:val="000000" w:themeColor="text1"/>
          <w:sz w:val="22"/>
          <w:szCs w:val="22"/>
          <w:lang w:val="hr-HR"/>
        </w:rPr>
        <w:t xml:space="preserve"> </w:t>
      </w:r>
      <w:r w:rsidRPr="007349CF">
        <w:rPr>
          <w:rFonts w:ascii="Arial" w:hAnsi="Arial" w:cs="Arial"/>
          <w:color w:val="000000" w:themeColor="text1"/>
          <w:sz w:val="22"/>
          <w:szCs w:val="22"/>
          <w:lang w:val="hr-HR"/>
        </w:rPr>
        <w:t>Prijavitelja</w:t>
      </w:r>
      <w:r w:rsidR="00CA76B4" w:rsidRPr="007349CF">
        <w:rPr>
          <w:rFonts w:ascii="Arial" w:hAnsi="Arial" w:cs="Arial"/>
          <w:color w:val="000000" w:themeColor="text1"/>
          <w:sz w:val="22"/>
          <w:szCs w:val="22"/>
          <w:lang w:val="hr-HR"/>
        </w:rPr>
        <w:t xml:space="preserve">,  </w:t>
      </w:r>
      <w:r w:rsidR="009C37F4" w:rsidRPr="007349CF">
        <w:rPr>
          <w:rFonts w:ascii="Arial" w:hAnsi="Arial" w:cs="Arial"/>
          <w:color w:val="000000" w:themeColor="text1"/>
          <w:sz w:val="22"/>
          <w:szCs w:val="22"/>
          <w:lang w:val="hr-HR"/>
        </w:rPr>
        <w:t xml:space="preserve">HAMAG-BICRO </w:t>
      </w:r>
      <w:r w:rsidRPr="007349CF">
        <w:rPr>
          <w:rFonts w:ascii="Arial" w:hAnsi="Arial" w:cs="Arial"/>
          <w:color w:val="000000" w:themeColor="text1"/>
          <w:sz w:val="22"/>
          <w:szCs w:val="22"/>
          <w:lang w:val="hr-HR"/>
        </w:rPr>
        <w:t>će odabrati</w:t>
      </w:r>
      <w:r w:rsidR="00CA76B4" w:rsidRPr="007349CF">
        <w:rPr>
          <w:rFonts w:ascii="Arial" w:hAnsi="Arial" w:cs="Arial"/>
          <w:color w:val="000000" w:themeColor="text1"/>
          <w:sz w:val="22"/>
          <w:szCs w:val="22"/>
          <w:lang w:val="hr-HR"/>
        </w:rPr>
        <w:t xml:space="preserve"> </w:t>
      </w:r>
      <w:r w:rsidR="00BB0B3A" w:rsidRPr="007349CF">
        <w:rPr>
          <w:rFonts w:ascii="Arial" w:hAnsi="Arial" w:cs="Arial"/>
          <w:color w:val="000000" w:themeColor="text1"/>
          <w:sz w:val="22"/>
          <w:szCs w:val="22"/>
          <w:lang w:val="hr-HR"/>
        </w:rPr>
        <w:t>Financijske institucije</w:t>
      </w:r>
      <w:r w:rsidRPr="007349CF">
        <w:rPr>
          <w:rFonts w:ascii="Arial" w:hAnsi="Arial" w:cs="Arial"/>
          <w:color w:val="000000" w:themeColor="text1"/>
          <w:sz w:val="22"/>
          <w:szCs w:val="22"/>
          <w:lang w:val="hr-HR"/>
        </w:rPr>
        <w:t xml:space="preserve"> prema sljedećim kriterijima ocjenjivanja</w:t>
      </w:r>
      <w:r w:rsidR="009C37F4" w:rsidRPr="007349CF">
        <w:rPr>
          <w:rFonts w:ascii="Arial" w:hAnsi="Arial" w:cs="Arial"/>
          <w:color w:val="000000" w:themeColor="text1"/>
          <w:sz w:val="22"/>
          <w:szCs w:val="22"/>
          <w:lang w:val="hr-HR"/>
        </w:rPr>
        <w:t>:</w:t>
      </w:r>
    </w:p>
    <w:p w14:paraId="1D1BD700" w14:textId="77777777" w:rsidR="0015639B" w:rsidRPr="007349CF" w:rsidRDefault="0015639B" w:rsidP="004371BA">
      <w:pPr>
        <w:pStyle w:val="Default"/>
        <w:jc w:val="both"/>
        <w:rPr>
          <w:rFonts w:ascii="Arial" w:hAnsi="Arial" w:cs="Arial"/>
          <w:color w:val="000000" w:themeColor="text1"/>
          <w:sz w:val="22"/>
          <w:szCs w:val="22"/>
          <w:lang w:val="hr-HR"/>
        </w:rPr>
      </w:pPr>
    </w:p>
    <w:tbl>
      <w:tblPr>
        <w:tblStyle w:val="Reetkatablice"/>
        <w:tblW w:w="0" w:type="auto"/>
        <w:tblInd w:w="34" w:type="dxa"/>
        <w:tblLook w:val="04A0" w:firstRow="1" w:lastRow="0" w:firstColumn="1" w:lastColumn="0" w:noHBand="0" w:noVBand="1"/>
      </w:tblPr>
      <w:tblGrid>
        <w:gridCol w:w="6903"/>
        <w:gridCol w:w="1965"/>
      </w:tblGrid>
      <w:tr w:rsidR="007E635C" w:rsidRPr="007349CF" w14:paraId="490FF46D" w14:textId="77777777" w:rsidTr="006D2E4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013EA0C" w14:textId="77777777" w:rsidR="00E34A98" w:rsidRPr="007349CF" w:rsidRDefault="009447F6" w:rsidP="004371BA">
            <w:pPr>
              <w:spacing w:before="0" w:after="0"/>
              <w:ind w:left="0"/>
              <w:jc w:val="left"/>
              <w:rPr>
                <w:rFonts w:ascii="Arial" w:hAnsi="Arial" w:cs="Arial"/>
                <w:b/>
                <w:sz w:val="22"/>
                <w:szCs w:val="22"/>
                <w:lang w:val="hr-HR"/>
              </w:rPr>
            </w:pPr>
            <w:r w:rsidRPr="007349CF">
              <w:rPr>
                <w:rFonts w:ascii="Arial" w:hAnsi="Arial" w:cs="Arial"/>
                <w:b/>
                <w:sz w:val="22"/>
                <w:szCs w:val="22"/>
                <w:lang w:val="hr-HR"/>
              </w:rPr>
              <w:t>Kriteriji ocjenjivanja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706C067" w14:textId="77777777" w:rsidR="00E34A98" w:rsidRPr="007349CF" w:rsidRDefault="007E635C" w:rsidP="004371BA">
            <w:pPr>
              <w:spacing w:before="0" w:after="0"/>
              <w:ind w:left="0"/>
              <w:jc w:val="center"/>
              <w:rPr>
                <w:rFonts w:ascii="Arial" w:hAnsi="Arial" w:cs="Arial"/>
                <w:b/>
                <w:sz w:val="22"/>
                <w:szCs w:val="22"/>
                <w:lang w:val="hr-HR"/>
              </w:rPr>
            </w:pPr>
            <w:proofErr w:type="spellStart"/>
            <w:r w:rsidRPr="007349CF">
              <w:rPr>
                <w:rFonts w:ascii="Arial" w:hAnsi="Arial" w:cs="Arial"/>
                <w:b/>
                <w:sz w:val="22"/>
                <w:szCs w:val="22"/>
                <w:lang w:val="hr-HR"/>
              </w:rPr>
              <w:t>Ponderiranje</w:t>
            </w:r>
            <w:proofErr w:type="spellEnd"/>
            <w:r w:rsidR="00E34A98" w:rsidRPr="007349CF">
              <w:rPr>
                <w:rFonts w:ascii="Arial" w:hAnsi="Arial" w:cs="Arial"/>
                <w:b/>
                <w:sz w:val="22"/>
                <w:szCs w:val="22"/>
                <w:lang w:val="hr-HR"/>
              </w:rPr>
              <w:t xml:space="preserve"> (%)</w:t>
            </w:r>
          </w:p>
        </w:tc>
      </w:tr>
      <w:tr w:rsidR="007E635C" w:rsidRPr="007349CF" w14:paraId="6F3FE185"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20DE9B" w14:textId="603DC81D" w:rsidR="006D2E4B" w:rsidRPr="007349CF" w:rsidRDefault="00BB0B3A" w:rsidP="00BB0B3A">
            <w:pPr>
              <w:pStyle w:val="Odlomakpopisa"/>
              <w:numPr>
                <w:ilvl w:val="0"/>
                <w:numId w:val="15"/>
              </w:numPr>
              <w:spacing w:after="0"/>
              <w:rPr>
                <w:rFonts w:ascii="Arial" w:hAnsi="Arial" w:cs="Arial"/>
                <w:b/>
                <w:sz w:val="22"/>
                <w:szCs w:val="22"/>
                <w:lang w:val="hr-HR"/>
              </w:rPr>
            </w:pPr>
            <w:r w:rsidRPr="007349CF">
              <w:rPr>
                <w:rFonts w:ascii="Arial" w:hAnsi="Arial" w:cs="Arial"/>
                <w:b/>
                <w:sz w:val="22"/>
                <w:szCs w:val="22"/>
                <w:lang w:val="hr-HR"/>
              </w:rPr>
              <w:t>Opći provedbeni</w:t>
            </w:r>
            <w:r w:rsidR="00E34A98" w:rsidRPr="007349CF">
              <w:rPr>
                <w:rFonts w:ascii="Arial" w:hAnsi="Arial" w:cs="Arial"/>
                <w:b/>
                <w:sz w:val="22"/>
                <w:szCs w:val="22"/>
                <w:lang w:val="hr-HR"/>
              </w:rPr>
              <w:t xml:space="preserve"> </w:t>
            </w:r>
            <w:r w:rsidRPr="007349CF">
              <w:rPr>
                <w:rFonts w:ascii="Arial" w:hAnsi="Arial" w:cs="Arial"/>
                <w:b/>
                <w:sz w:val="22"/>
                <w:szCs w:val="22"/>
                <w:lang w:val="hr-HR"/>
              </w:rPr>
              <w:t>kapaciteti</w:t>
            </w:r>
            <w:r w:rsidR="007E635C" w:rsidRPr="007349CF">
              <w:rPr>
                <w:rFonts w:ascii="Arial" w:hAnsi="Arial" w:cs="Arial"/>
                <w:b/>
                <w:sz w:val="22"/>
                <w:szCs w:val="22"/>
                <w:lang w:val="hr-HR"/>
              </w:rPr>
              <w:t xml:space="preserve"> i geografski doseg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88E16" w14:textId="66E0DD63" w:rsidR="00E34A98" w:rsidRPr="007349CF" w:rsidRDefault="00A8253B" w:rsidP="004371BA">
            <w:pPr>
              <w:spacing w:before="0" w:after="0"/>
              <w:ind w:left="0"/>
              <w:jc w:val="center"/>
              <w:rPr>
                <w:rFonts w:ascii="Arial" w:hAnsi="Arial" w:cs="Arial"/>
                <w:b/>
                <w:sz w:val="22"/>
                <w:szCs w:val="22"/>
                <w:lang w:val="hr-HR"/>
              </w:rPr>
            </w:pPr>
            <w:r w:rsidRPr="007349CF">
              <w:rPr>
                <w:rFonts w:ascii="Arial" w:hAnsi="Arial" w:cs="Arial"/>
                <w:b/>
                <w:sz w:val="22"/>
                <w:szCs w:val="22"/>
                <w:lang w:val="hr-HR"/>
              </w:rPr>
              <w:t>50</w:t>
            </w:r>
          </w:p>
        </w:tc>
      </w:tr>
      <w:tr w:rsidR="007E635C" w:rsidRPr="007349CF" w14:paraId="713A9867"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B8B27" w14:textId="6B9D7540" w:rsidR="00E34A98" w:rsidRPr="007349CF" w:rsidRDefault="00A8253B" w:rsidP="00A8253B">
            <w:pPr>
              <w:pStyle w:val="Odlomakpopisa"/>
              <w:numPr>
                <w:ilvl w:val="1"/>
                <w:numId w:val="15"/>
              </w:numPr>
              <w:spacing w:after="0"/>
              <w:rPr>
                <w:rFonts w:ascii="Arial" w:hAnsi="Arial" w:cs="Arial"/>
                <w:sz w:val="22"/>
                <w:szCs w:val="22"/>
                <w:lang w:val="hr-HR"/>
              </w:rPr>
            </w:pPr>
            <w:r w:rsidRPr="007349CF">
              <w:rPr>
                <w:rFonts w:ascii="Arial" w:hAnsi="Arial" w:cs="Arial"/>
                <w:sz w:val="22"/>
                <w:szCs w:val="22"/>
                <w:lang w:val="hr-HR"/>
              </w:rPr>
              <w:t xml:space="preserve"> Kapacitet</w:t>
            </w:r>
            <w:r w:rsidR="00F400EE" w:rsidRPr="007349CF">
              <w:rPr>
                <w:rFonts w:ascii="Arial" w:hAnsi="Arial" w:cs="Arial"/>
                <w:sz w:val="22"/>
                <w:szCs w:val="22"/>
                <w:lang w:val="hr-HR"/>
              </w:rPr>
              <w:t>i</w:t>
            </w:r>
            <w:r w:rsidRPr="007349CF">
              <w:rPr>
                <w:rFonts w:ascii="Arial" w:hAnsi="Arial" w:cs="Arial"/>
                <w:sz w:val="22"/>
                <w:szCs w:val="22"/>
                <w:lang w:val="hr-HR"/>
              </w:rPr>
              <w:t xml:space="preserve"> za identificiranje krajnjih primatelja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616EF" w14:textId="46A7FE93" w:rsidR="00E34A98" w:rsidRPr="007349CF" w:rsidRDefault="00656737" w:rsidP="004371BA">
            <w:pPr>
              <w:spacing w:before="0" w:after="0"/>
              <w:ind w:left="0"/>
              <w:jc w:val="center"/>
              <w:rPr>
                <w:rFonts w:ascii="Arial" w:hAnsi="Arial" w:cs="Arial"/>
                <w:sz w:val="22"/>
                <w:szCs w:val="22"/>
                <w:lang w:val="hr-HR"/>
              </w:rPr>
            </w:pPr>
            <w:r w:rsidRPr="007349CF">
              <w:rPr>
                <w:rFonts w:ascii="Arial" w:hAnsi="Arial" w:cs="Arial"/>
                <w:sz w:val="22"/>
                <w:szCs w:val="22"/>
                <w:lang w:val="hr-HR"/>
              </w:rPr>
              <w:t>16</w:t>
            </w:r>
          </w:p>
        </w:tc>
      </w:tr>
      <w:tr w:rsidR="007E635C" w:rsidRPr="007349CF" w14:paraId="78A06401"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F59AF4" w14:textId="12A7FC82" w:rsidR="00E34A98" w:rsidRPr="007349CF" w:rsidRDefault="00A8253B" w:rsidP="00A8253B">
            <w:pPr>
              <w:pStyle w:val="Odlomakpopisa"/>
              <w:numPr>
                <w:ilvl w:val="1"/>
                <w:numId w:val="15"/>
              </w:numPr>
              <w:spacing w:after="0"/>
              <w:rPr>
                <w:rFonts w:ascii="Arial" w:hAnsi="Arial" w:cs="Arial"/>
                <w:sz w:val="22"/>
                <w:szCs w:val="22"/>
                <w:lang w:val="hr-HR"/>
              </w:rPr>
            </w:pPr>
            <w:r w:rsidRPr="007349CF">
              <w:rPr>
                <w:rFonts w:ascii="Arial" w:hAnsi="Arial" w:cs="Arial"/>
                <w:sz w:val="22"/>
                <w:szCs w:val="22"/>
                <w:lang w:val="hr-HR"/>
              </w:rPr>
              <w:t xml:space="preserve"> Kapacitet</w:t>
            </w:r>
            <w:r w:rsidR="00F400EE" w:rsidRPr="007349CF">
              <w:rPr>
                <w:rFonts w:ascii="Arial" w:hAnsi="Arial" w:cs="Arial"/>
                <w:sz w:val="22"/>
                <w:szCs w:val="22"/>
                <w:lang w:val="hr-HR"/>
              </w:rPr>
              <w:t>i</w:t>
            </w:r>
            <w:r w:rsidRPr="007349CF">
              <w:rPr>
                <w:rFonts w:ascii="Arial" w:hAnsi="Arial" w:cs="Arial"/>
                <w:sz w:val="22"/>
                <w:szCs w:val="22"/>
                <w:lang w:val="hr-HR"/>
              </w:rPr>
              <w:t xml:space="preserve"> za ocjenjivanje krajnjih primatelja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468671" w14:textId="35DE351B" w:rsidR="00E34A98" w:rsidRPr="007349CF" w:rsidRDefault="00656737" w:rsidP="00A8253B">
            <w:pPr>
              <w:spacing w:before="0" w:after="0"/>
              <w:ind w:left="0"/>
              <w:jc w:val="center"/>
              <w:rPr>
                <w:rFonts w:ascii="Arial" w:hAnsi="Arial" w:cs="Arial"/>
                <w:sz w:val="22"/>
                <w:szCs w:val="22"/>
                <w:lang w:val="hr-HR"/>
              </w:rPr>
            </w:pPr>
            <w:r w:rsidRPr="007349CF">
              <w:rPr>
                <w:rFonts w:ascii="Arial" w:hAnsi="Arial" w:cs="Arial"/>
                <w:sz w:val="22"/>
                <w:szCs w:val="22"/>
                <w:lang w:val="hr-HR"/>
              </w:rPr>
              <w:t>20</w:t>
            </w:r>
          </w:p>
        </w:tc>
      </w:tr>
      <w:tr w:rsidR="00A8253B" w:rsidRPr="007349CF" w14:paraId="02BFDE10"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7B4A0" w14:textId="15B6BEFE" w:rsidR="00A8253B" w:rsidRPr="007349CF" w:rsidRDefault="00A8253B" w:rsidP="00A8253B">
            <w:pPr>
              <w:pStyle w:val="Odlomakpopisa"/>
              <w:numPr>
                <w:ilvl w:val="1"/>
                <w:numId w:val="15"/>
              </w:numPr>
              <w:spacing w:after="0"/>
              <w:rPr>
                <w:rFonts w:ascii="Arial" w:hAnsi="Arial" w:cs="Arial"/>
                <w:sz w:val="22"/>
                <w:szCs w:val="22"/>
                <w:lang w:val="hr-HR"/>
              </w:rPr>
            </w:pPr>
            <w:r w:rsidRPr="007349CF">
              <w:rPr>
                <w:rFonts w:ascii="Arial" w:hAnsi="Arial" w:cs="Arial"/>
                <w:sz w:val="22"/>
                <w:szCs w:val="22"/>
                <w:lang w:val="hr-HR"/>
              </w:rPr>
              <w:t xml:space="preserve"> Geografski doseg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942AD" w14:textId="28A80F46" w:rsidR="00A8253B" w:rsidRPr="007349CF" w:rsidRDefault="00656737" w:rsidP="00A8253B">
            <w:pPr>
              <w:spacing w:after="0"/>
              <w:jc w:val="center"/>
              <w:rPr>
                <w:rFonts w:ascii="Arial" w:hAnsi="Arial" w:cs="Arial"/>
                <w:sz w:val="22"/>
                <w:szCs w:val="22"/>
                <w:lang w:val="hr-HR"/>
              </w:rPr>
            </w:pPr>
            <w:r w:rsidRPr="007349CF">
              <w:rPr>
                <w:rFonts w:ascii="Arial" w:hAnsi="Arial" w:cs="Arial"/>
                <w:sz w:val="22"/>
                <w:szCs w:val="22"/>
                <w:lang w:val="hr-HR"/>
              </w:rPr>
              <w:t>14</w:t>
            </w:r>
          </w:p>
        </w:tc>
      </w:tr>
      <w:tr w:rsidR="007E635C" w:rsidRPr="007349CF" w14:paraId="7D047AB2"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97B17" w14:textId="15EDCD61" w:rsidR="006D2E4B" w:rsidRPr="007349CF" w:rsidRDefault="007E635C" w:rsidP="00A8253B">
            <w:pPr>
              <w:pStyle w:val="Odlomakpopisa"/>
              <w:numPr>
                <w:ilvl w:val="0"/>
                <w:numId w:val="15"/>
              </w:numPr>
              <w:spacing w:after="0"/>
              <w:rPr>
                <w:rFonts w:ascii="Arial" w:hAnsi="Arial" w:cs="Arial"/>
                <w:b/>
                <w:sz w:val="22"/>
                <w:szCs w:val="22"/>
                <w:lang w:val="hr-HR"/>
              </w:rPr>
            </w:pPr>
            <w:r w:rsidRPr="007349CF">
              <w:rPr>
                <w:rFonts w:ascii="Arial" w:hAnsi="Arial" w:cs="Arial"/>
                <w:b/>
                <w:sz w:val="22"/>
                <w:szCs w:val="22"/>
                <w:lang w:val="hr-HR"/>
              </w:rPr>
              <w:t>Politika određivanja cijena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63FD98" w14:textId="77777777" w:rsidR="00E34A98" w:rsidRPr="007349CF" w:rsidRDefault="00E34A98" w:rsidP="004371BA">
            <w:pPr>
              <w:spacing w:before="0" w:after="0"/>
              <w:ind w:left="0"/>
              <w:jc w:val="center"/>
              <w:rPr>
                <w:rFonts w:ascii="Arial" w:hAnsi="Arial" w:cs="Arial"/>
                <w:b/>
                <w:sz w:val="22"/>
                <w:szCs w:val="22"/>
                <w:lang w:val="hr-HR"/>
              </w:rPr>
            </w:pPr>
            <w:r w:rsidRPr="007349CF">
              <w:rPr>
                <w:rFonts w:ascii="Arial" w:hAnsi="Arial" w:cs="Arial"/>
                <w:b/>
                <w:sz w:val="22"/>
                <w:szCs w:val="22"/>
                <w:lang w:val="hr-HR"/>
              </w:rPr>
              <w:t>50</w:t>
            </w:r>
          </w:p>
        </w:tc>
      </w:tr>
      <w:tr w:rsidR="007E635C" w:rsidRPr="007349CF" w14:paraId="2D634C33"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3EDA2" w14:textId="42EBEA1D" w:rsidR="00E34A98" w:rsidRPr="007349CF" w:rsidRDefault="00A8253B" w:rsidP="00A8253B">
            <w:pPr>
              <w:pStyle w:val="Odlomakpopisa"/>
              <w:numPr>
                <w:ilvl w:val="1"/>
                <w:numId w:val="15"/>
              </w:numPr>
              <w:spacing w:after="0"/>
              <w:rPr>
                <w:rFonts w:ascii="Arial" w:hAnsi="Arial" w:cs="Arial"/>
                <w:sz w:val="22"/>
                <w:szCs w:val="22"/>
                <w:lang w:val="hr-HR"/>
              </w:rPr>
            </w:pPr>
            <w:r w:rsidRPr="007349CF">
              <w:rPr>
                <w:rFonts w:ascii="Arial" w:hAnsi="Arial" w:cs="Arial"/>
                <w:sz w:val="22"/>
                <w:szCs w:val="22"/>
                <w:lang w:val="hr-HR"/>
              </w:rPr>
              <w:t xml:space="preserve"> Prosječne nominalne kamatne stope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203A24" w14:textId="525EA853" w:rsidR="00E34A98" w:rsidRPr="007349CF" w:rsidRDefault="00656737" w:rsidP="004371BA">
            <w:pPr>
              <w:spacing w:before="0" w:after="0"/>
              <w:ind w:left="0"/>
              <w:jc w:val="center"/>
              <w:rPr>
                <w:rFonts w:ascii="Arial" w:hAnsi="Arial" w:cs="Arial"/>
                <w:sz w:val="22"/>
                <w:szCs w:val="22"/>
                <w:lang w:val="hr-HR"/>
              </w:rPr>
            </w:pPr>
            <w:r w:rsidRPr="007349CF">
              <w:rPr>
                <w:rFonts w:ascii="Arial" w:hAnsi="Arial" w:cs="Arial"/>
                <w:sz w:val="22"/>
                <w:szCs w:val="22"/>
                <w:lang w:val="hr-HR"/>
              </w:rPr>
              <w:t>12</w:t>
            </w:r>
          </w:p>
        </w:tc>
      </w:tr>
      <w:tr w:rsidR="007E635C" w:rsidRPr="007349CF" w14:paraId="363EAB6B" w14:textId="77777777" w:rsidTr="00321D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F0131" w14:textId="6EDBFE9D" w:rsidR="00E34A98" w:rsidRPr="007349CF" w:rsidRDefault="00656737" w:rsidP="00A8253B">
            <w:pPr>
              <w:pStyle w:val="Odlomakpopisa"/>
              <w:numPr>
                <w:ilvl w:val="1"/>
                <w:numId w:val="15"/>
              </w:numPr>
              <w:spacing w:after="0"/>
              <w:rPr>
                <w:rFonts w:ascii="Arial" w:hAnsi="Arial" w:cs="Arial"/>
                <w:sz w:val="22"/>
                <w:szCs w:val="22"/>
                <w:lang w:val="hr-HR"/>
              </w:rPr>
            </w:pPr>
            <w:r w:rsidRPr="007349CF">
              <w:rPr>
                <w:rFonts w:ascii="Arial" w:hAnsi="Arial" w:cs="Arial"/>
                <w:sz w:val="22"/>
                <w:szCs w:val="22"/>
                <w:lang w:val="hr-HR"/>
              </w:rPr>
              <w:t>Umanjenje kamatne stope u odnosu na stopu jamstva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8D8547" w14:textId="146C6553" w:rsidR="00E34A98" w:rsidRPr="007349CF" w:rsidRDefault="00656737" w:rsidP="004371BA">
            <w:pPr>
              <w:spacing w:before="0" w:after="0"/>
              <w:ind w:left="0"/>
              <w:jc w:val="center"/>
              <w:rPr>
                <w:rFonts w:ascii="Arial" w:hAnsi="Arial" w:cs="Arial"/>
                <w:sz w:val="22"/>
                <w:szCs w:val="22"/>
                <w:lang w:val="hr-HR"/>
              </w:rPr>
            </w:pPr>
            <w:r w:rsidRPr="007349CF">
              <w:rPr>
                <w:rFonts w:ascii="Arial" w:hAnsi="Arial" w:cs="Arial"/>
                <w:sz w:val="22"/>
                <w:szCs w:val="22"/>
                <w:lang w:val="hr-HR"/>
              </w:rPr>
              <w:t>38</w:t>
            </w:r>
          </w:p>
        </w:tc>
      </w:tr>
      <w:tr w:rsidR="007E635C" w:rsidRPr="007349CF" w14:paraId="536E6C0E" w14:textId="77777777" w:rsidTr="006D2E4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BC214" w14:textId="77777777" w:rsidR="00E34A98" w:rsidRPr="007349CF" w:rsidRDefault="009447F6" w:rsidP="00656737">
            <w:pPr>
              <w:spacing w:before="0" w:after="0"/>
              <w:ind w:left="0"/>
              <w:jc w:val="left"/>
              <w:rPr>
                <w:rFonts w:ascii="Arial" w:hAnsi="Arial" w:cs="Arial"/>
                <w:b/>
                <w:sz w:val="22"/>
                <w:szCs w:val="22"/>
                <w:lang w:val="hr-HR"/>
              </w:rPr>
            </w:pPr>
            <w:r w:rsidRPr="007349CF">
              <w:rPr>
                <w:rFonts w:ascii="Arial" w:hAnsi="Arial" w:cs="Arial"/>
                <w:b/>
                <w:sz w:val="22"/>
                <w:szCs w:val="22"/>
                <w:lang w:val="hr-HR"/>
              </w:rPr>
              <w:t>Ukupni rezultat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13C2E" w14:textId="77777777" w:rsidR="00E34A98" w:rsidRPr="007349CF" w:rsidRDefault="00E34A98" w:rsidP="004371BA">
            <w:pPr>
              <w:spacing w:before="0" w:after="0"/>
              <w:ind w:left="0"/>
              <w:jc w:val="center"/>
              <w:rPr>
                <w:rFonts w:ascii="Arial" w:hAnsi="Arial" w:cs="Arial"/>
                <w:b/>
                <w:sz w:val="22"/>
                <w:szCs w:val="22"/>
                <w:lang w:val="hr-HR"/>
              </w:rPr>
            </w:pPr>
            <w:r w:rsidRPr="007349CF">
              <w:rPr>
                <w:rFonts w:ascii="Arial" w:hAnsi="Arial" w:cs="Arial"/>
                <w:b/>
                <w:sz w:val="22"/>
                <w:szCs w:val="22"/>
                <w:lang w:val="hr-HR"/>
              </w:rPr>
              <w:t>100</w:t>
            </w:r>
          </w:p>
        </w:tc>
      </w:tr>
    </w:tbl>
    <w:p w14:paraId="4E342988" w14:textId="77777777" w:rsidR="00E34A98" w:rsidRPr="007349CF" w:rsidRDefault="00E34A98" w:rsidP="004371BA">
      <w:pPr>
        <w:spacing w:after="0"/>
        <w:rPr>
          <w:rFonts w:ascii="Arial" w:hAnsi="Arial" w:cs="Arial"/>
          <w:sz w:val="22"/>
          <w:szCs w:val="22"/>
          <w:lang w:val="hr-HR" w:eastAsia="zh-CN"/>
        </w:rPr>
      </w:pPr>
    </w:p>
    <w:p w14:paraId="422A1515" w14:textId="1E203BAA" w:rsidR="00E34A98" w:rsidRPr="007349CF" w:rsidRDefault="00953F3F" w:rsidP="004371BA">
      <w:pPr>
        <w:spacing w:after="0"/>
        <w:rPr>
          <w:rFonts w:ascii="Arial" w:hAnsi="Arial" w:cs="Arial"/>
          <w:sz w:val="22"/>
          <w:szCs w:val="22"/>
          <w:u w:val="single"/>
          <w:lang w:val="hr-HR" w:eastAsia="zh-CN"/>
        </w:rPr>
      </w:pPr>
      <w:r w:rsidRPr="007349CF">
        <w:rPr>
          <w:rFonts w:ascii="Arial" w:hAnsi="Arial" w:cs="Arial"/>
          <w:sz w:val="22"/>
          <w:szCs w:val="22"/>
          <w:lang w:val="hr-HR" w:eastAsia="zh-CN"/>
        </w:rPr>
        <w:t>Tablica</w:t>
      </w:r>
      <w:r w:rsidR="009447F6" w:rsidRPr="007349CF">
        <w:rPr>
          <w:rFonts w:ascii="Arial" w:hAnsi="Arial" w:cs="Arial"/>
          <w:sz w:val="22"/>
          <w:szCs w:val="22"/>
          <w:lang w:val="hr-HR" w:eastAsia="zh-CN"/>
        </w:rPr>
        <w:t xml:space="preserve"> bodovanja</w:t>
      </w:r>
      <w:r w:rsidR="009E3706" w:rsidRPr="007349CF">
        <w:rPr>
          <w:rFonts w:ascii="Arial" w:hAnsi="Arial" w:cs="Arial"/>
          <w:sz w:val="22"/>
          <w:szCs w:val="22"/>
          <w:lang w:val="hr-HR" w:eastAsia="zh-CN"/>
        </w:rPr>
        <w:t xml:space="preserve"> </w:t>
      </w:r>
      <w:r w:rsidR="009447F6" w:rsidRPr="007349CF">
        <w:rPr>
          <w:rFonts w:ascii="Arial" w:hAnsi="Arial" w:cs="Arial"/>
          <w:sz w:val="22"/>
          <w:szCs w:val="22"/>
          <w:lang w:val="hr-HR" w:eastAsia="zh-CN"/>
        </w:rPr>
        <w:t>prikazana je u</w:t>
      </w:r>
      <w:r w:rsidR="00E34A98" w:rsidRPr="007349CF">
        <w:rPr>
          <w:rFonts w:ascii="Arial" w:hAnsi="Arial" w:cs="Arial"/>
          <w:sz w:val="22"/>
          <w:szCs w:val="22"/>
          <w:lang w:val="hr-HR" w:eastAsia="zh-CN"/>
        </w:rPr>
        <w:t xml:space="preserve"> </w:t>
      </w:r>
      <w:r w:rsidR="009447F6" w:rsidRPr="007349CF">
        <w:rPr>
          <w:rFonts w:ascii="Arial" w:hAnsi="Arial" w:cs="Arial"/>
          <w:sz w:val="22"/>
          <w:szCs w:val="22"/>
          <w:lang w:val="hr-HR" w:eastAsia="zh-CN"/>
        </w:rPr>
        <w:t xml:space="preserve">Prilogu </w:t>
      </w:r>
      <w:r w:rsidR="00E34A98" w:rsidRPr="007349CF">
        <w:rPr>
          <w:rFonts w:ascii="Arial" w:hAnsi="Arial" w:cs="Arial"/>
          <w:sz w:val="22"/>
          <w:szCs w:val="22"/>
          <w:lang w:val="hr-HR" w:eastAsia="zh-CN"/>
        </w:rPr>
        <w:t>IV.</w:t>
      </w:r>
    </w:p>
    <w:p w14:paraId="637795D4" w14:textId="77777777" w:rsidR="00E34A98" w:rsidRPr="007349CF" w:rsidRDefault="00E34A98" w:rsidP="00CA76B4">
      <w:pPr>
        <w:pStyle w:val="Default"/>
        <w:rPr>
          <w:rFonts w:ascii="Arial" w:hAnsi="Arial" w:cs="Arial"/>
          <w:color w:val="000000" w:themeColor="text1"/>
          <w:sz w:val="22"/>
          <w:szCs w:val="22"/>
          <w:lang w:val="hr-HR"/>
        </w:rPr>
      </w:pPr>
    </w:p>
    <w:p w14:paraId="26B3669F" w14:textId="2B9C19E0" w:rsidR="00F953EC" w:rsidRPr="007349CF" w:rsidRDefault="007B1287" w:rsidP="00656737">
      <w:pPr>
        <w:spacing w:after="160" w:line="259" w:lineRule="auto"/>
        <w:jc w:val="left"/>
        <w:rPr>
          <w:rFonts w:ascii="Arial" w:hAnsi="Arial" w:cs="Arial"/>
          <w:sz w:val="22"/>
          <w:szCs w:val="22"/>
          <w:lang w:val="hr-HR"/>
        </w:rPr>
      </w:pPr>
      <w:r w:rsidRPr="007349CF">
        <w:rPr>
          <w:rFonts w:ascii="Arial" w:hAnsi="Arial" w:cs="Arial"/>
          <w:sz w:val="22"/>
          <w:szCs w:val="22"/>
          <w:lang w:val="hr-HR"/>
        </w:rPr>
        <w:br w:type="page"/>
      </w:r>
      <w:r w:rsidR="00656737" w:rsidRPr="007349CF">
        <w:rPr>
          <w:rFonts w:ascii="Arial" w:hAnsi="Arial" w:cs="Arial"/>
          <w:sz w:val="22"/>
          <w:szCs w:val="22"/>
          <w:lang w:val="hr-HR"/>
        </w:rPr>
        <w:lastRenderedPageBreak/>
        <w:t>P</w:t>
      </w:r>
      <w:r w:rsidR="009447F6" w:rsidRPr="007349CF">
        <w:rPr>
          <w:rFonts w:ascii="Arial" w:hAnsi="Arial" w:cs="Arial"/>
          <w:sz w:val="22"/>
          <w:szCs w:val="22"/>
          <w:lang w:val="hr-HR"/>
        </w:rPr>
        <w:t>RILOZI</w:t>
      </w:r>
    </w:p>
    <w:p w14:paraId="4B74A13A" w14:textId="77777777" w:rsidR="00F953EC" w:rsidRPr="007349CF" w:rsidRDefault="00F953EC" w:rsidP="00F953EC">
      <w:pPr>
        <w:pStyle w:val="Default"/>
        <w:jc w:val="center"/>
        <w:rPr>
          <w:rFonts w:ascii="Arial" w:hAnsi="Arial" w:cs="Arial"/>
          <w:b/>
          <w:sz w:val="22"/>
          <w:szCs w:val="22"/>
          <w:lang w:val="hr-HR"/>
        </w:rPr>
      </w:pPr>
    </w:p>
    <w:p w14:paraId="545A0224" w14:textId="77777777" w:rsidR="00F953EC" w:rsidRPr="007349CF" w:rsidRDefault="009447F6" w:rsidP="00F953EC">
      <w:pPr>
        <w:pStyle w:val="Default"/>
        <w:jc w:val="center"/>
        <w:rPr>
          <w:rFonts w:ascii="Arial" w:hAnsi="Arial" w:cs="Arial"/>
          <w:b/>
          <w:sz w:val="22"/>
          <w:szCs w:val="22"/>
          <w:lang w:val="hr-HR"/>
        </w:rPr>
      </w:pPr>
      <w:r w:rsidRPr="007349CF">
        <w:rPr>
          <w:rFonts w:ascii="Arial" w:hAnsi="Arial" w:cs="Arial"/>
          <w:b/>
          <w:sz w:val="22"/>
          <w:szCs w:val="22"/>
          <w:lang w:val="hr-HR"/>
        </w:rPr>
        <w:t xml:space="preserve">PRILOG </w:t>
      </w:r>
      <w:r w:rsidR="00F953EC" w:rsidRPr="007349CF">
        <w:rPr>
          <w:rFonts w:ascii="Arial" w:hAnsi="Arial" w:cs="Arial"/>
          <w:b/>
          <w:sz w:val="22"/>
          <w:szCs w:val="22"/>
          <w:lang w:val="hr-HR"/>
        </w:rPr>
        <w:t>I</w:t>
      </w:r>
    </w:p>
    <w:p w14:paraId="1C10F147" w14:textId="77777777" w:rsidR="00F953EC" w:rsidRPr="007349CF" w:rsidRDefault="00F953EC" w:rsidP="00F953EC">
      <w:pPr>
        <w:pStyle w:val="Default"/>
        <w:jc w:val="center"/>
        <w:rPr>
          <w:rFonts w:ascii="Arial" w:hAnsi="Arial" w:cs="Arial"/>
          <w:b/>
          <w:sz w:val="22"/>
          <w:szCs w:val="22"/>
          <w:lang w:val="hr-HR"/>
        </w:rPr>
      </w:pPr>
    </w:p>
    <w:p w14:paraId="5104EE3C" w14:textId="77777777" w:rsidR="00F953EC" w:rsidRPr="007349CF" w:rsidRDefault="009447F6" w:rsidP="00F953EC">
      <w:pPr>
        <w:pStyle w:val="Default"/>
        <w:jc w:val="center"/>
        <w:rPr>
          <w:rFonts w:ascii="Arial" w:hAnsi="Arial" w:cs="Arial"/>
          <w:sz w:val="22"/>
          <w:szCs w:val="22"/>
          <w:lang w:val="hr-HR"/>
        </w:rPr>
      </w:pPr>
      <w:r w:rsidRPr="007349CF">
        <w:rPr>
          <w:rFonts w:ascii="Arial" w:hAnsi="Arial" w:cs="Arial"/>
          <w:b/>
          <w:sz w:val="22"/>
          <w:szCs w:val="22"/>
          <w:lang w:val="hr-HR"/>
        </w:rPr>
        <w:t>ODREDBE I UVJETI PROGRAMA</w:t>
      </w:r>
      <w:r w:rsidR="00F953EC" w:rsidRPr="007349CF">
        <w:rPr>
          <w:rFonts w:ascii="Arial" w:hAnsi="Arial" w:cs="Arial"/>
          <w:b/>
          <w:sz w:val="22"/>
          <w:szCs w:val="22"/>
          <w:lang w:val="hr-HR"/>
        </w:rPr>
        <w:t xml:space="preserve"> </w:t>
      </w:r>
      <w:r w:rsidR="00F953EC" w:rsidRPr="007349CF">
        <w:rPr>
          <w:rFonts w:ascii="Arial" w:hAnsi="Arial" w:cs="Arial"/>
          <w:sz w:val="22"/>
          <w:szCs w:val="22"/>
          <w:lang w:val="hr-HR"/>
        </w:rPr>
        <w:t xml:space="preserve"> </w:t>
      </w:r>
    </w:p>
    <w:p w14:paraId="45344B8A" w14:textId="77777777" w:rsidR="00F953EC" w:rsidRPr="007349CF" w:rsidRDefault="00F953EC" w:rsidP="00F953EC">
      <w:pPr>
        <w:pStyle w:val="Default"/>
        <w:jc w:val="center"/>
        <w:rPr>
          <w:rFonts w:ascii="Arial" w:hAnsi="Arial" w:cs="Arial"/>
          <w:sz w:val="22"/>
          <w:szCs w:val="22"/>
          <w:lang w:val="hr-HR"/>
        </w:rPr>
      </w:pPr>
    </w:p>
    <w:p w14:paraId="0242BB83" w14:textId="6ED94673" w:rsidR="00F953EC" w:rsidRPr="007349CF" w:rsidRDefault="00F953EC" w:rsidP="00F953EC">
      <w:pPr>
        <w:pStyle w:val="Default"/>
        <w:jc w:val="center"/>
        <w:rPr>
          <w:rFonts w:ascii="Arial" w:hAnsi="Arial" w:cs="Arial"/>
          <w:sz w:val="22"/>
          <w:szCs w:val="22"/>
          <w:lang w:val="hr-HR"/>
        </w:rPr>
      </w:pPr>
    </w:p>
    <w:p w14:paraId="552043EA" w14:textId="77777777" w:rsidR="00F953EC" w:rsidRPr="007349CF" w:rsidRDefault="00F953EC" w:rsidP="00F953EC">
      <w:pPr>
        <w:pStyle w:val="Default"/>
        <w:jc w:val="both"/>
        <w:rPr>
          <w:rFonts w:ascii="Arial" w:hAnsi="Arial" w:cs="Arial"/>
          <w:sz w:val="22"/>
          <w:szCs w:val="22"/>
          <w:lang w:val="hr-HR"/>
        </w:rPr>
      </w:pPr>
    </w:p>
    <w:p w14:paraId="51DA521C" w14:textId="77777777" w:rsidR="00D53337" w:rsidRPr="007349CF" w:rsidRDefault="00D53337">
      <w:pPr>
        <w:spacing w:after="160" w:line="259" w:lineRule="auto"/>
        <w:jc w:val="left"/>
        <w:rPr>
          <w:rFonts w:ascii="Arial" w:eastAsiaTheme="minorHAnsi" w:hAnsi="Arial" w:cs="Arial"/>
          <w:color w:val="000000"/>
          <w:sz w:val="22"/>
          <w:szCs w:val="22"/>
          <w:lang w:val="hr-HR"/>
        </w:rPr>
      </w:pPr>
    </w:p>
    <w:p w14:paraId="3F8CCE72" w14:textId="77777777" w:rsidR="00F953EC" w:rsidRPr="007349CF" w:rsidRDefault="00F953EC">
      <w:pPr>
        <w:spacing w:after="160" w:line="259" w:lineRule="auto"/>
        <w:jc w:val="left"/>
        <w:rPr>
          <w:rFonts w:ascii="Arial" w:hAnsi="Arial" w:cs="Arial"/>
          <w:b/>
          <w:bCs/>
          <w:color w:val="000000"/>
          <w:sz w:val="22"/>
          <w:szCs w:val="22"/>
          <w:lang w:val="hr-HR"/>
        </w:rPr>
      </w:pPr>
      <w:r w:rsidRPr="007349CF">
        <w:rPr>
          <w:rFonts w:ascii="Arial" w:hAnsi="Arial" w:cs="Arial"/>
          <w:b/>
          <w:bCs/>
          <w:color w:val="000000"/>
          <w:sz w:val="22"/>
          <w:szCs w:val="22"/>
          <w:lang w:val="hr-HR"/>
        </w:rPr>
        <w:br w:type="page"/>
      </w:r>
    </w:p>
    <w:p w14:paraId="17D8AFD4" w14:textId="77777777" w:rsidR="00D73CB8" w:rsidRPr="007349CF" w:rsidRDefault="00D73CB8" w:rsidP="00D73CB8">
      <w:pPr>
        <w:spacing w:before="240" w:after="120"/>
        <w:jc w:val="left"/>
        <w:rPr>
          <w:rFonts w:ascii="Arial" w:hAnsi="Arial" w:cs="Arial"/>
          <w:bCs/>
          <w:color w:val="000000"/>
          <w:sz w:val="22"/>
          <w:szCs w:val="22"/>
          <w:lang w:val="hr-HR"/>
        </w:rPr>
      </w:pPr>
      <w:r w:rsidRPr="007349CF">
        <w:rPr>
          <w:rFonts w:ascii="Arial" w:hAnsi="Arial" w:cs="Arial"/>
          <w:bCs/>
          <w:color w:val="000000"/>
          <w:sz w:val="22"/>
          <w:szCs w:val="22"/>
          <w:lang w:val="hr-HR"/>
        </w:rPr>
        <w:lastRenderedPageBreak/>
        <w:t xml:space="preserve"> (</w:t>
      </w:r>
      <w:r w:rsidR="009447F6" w:rsidRPr="007349CF">
        <w:rPr>
          <w:rFonts w:ascii="Arial" w:hAnsi="Arial" w:cs="Arial"/>
          <w:bCs/>
          <w:color w:val="000000"/>
          <w:sz w:val="22"/>
          <w:szCs w:val="22"/>
          <w:lang w:val="hr-HR"/>
        </w:rPr>
        <w:t xml:space="preserve">Prilog </w:t>
      </w:r>
      <w:r w:rsidRPr="007349CF">
        <w:rPr>
          <w:rFonts w:ascii="Arial" w:hAnsi="Arial" w:cs="Arial"/>
          <w:bCs/>
          <w:color w:val="000000"/>
          <w:sz w:val="22"/>
          <w:szCs w:val="22"/>
          <w:lang w:val="hr-HR"/>
        </w:rPr>
        <w:t xml:space="preserve">II </w:t>
      </w:r>
      <w:r w:rsidR="009447F6" w:rsidRPr="007349CF">
        <w:rPr>
          <w:rFonts w:ascii="Arial" w:hAnsi="Arial" w:cs="Arial"/>
          <w:bCs/>
          <w:color w:val="000000"/>
          <w:sz w:val="22"/>
          <w:szCs w:val="22"/>
          <w:lang w:val="hr-HR"/>
        </w:rPr>
        <w:t>postoji na hrvatskom</w:t>
      </w:r>
      <w:r w:rsidRPr="007349CF">
        <w:rPr>
          <w:rFonts w:ascii="Arial" w:hAnsi="Arial" w:cs="Arial"/>
          <w:bCs/>
          <w:color w:val="000000"/>
          <w:sz w:val="22"/>
          <w:szCs w:val="22"/>
          <w:lang w:val="hr-HR"/>
        </w:rPr>
        <w:t>: http://eur-lex.europa.eu/legal-content/EN/TXT/?uri=uriserv%3AOJ.L_.2014.187.01.0001.01.ENG)</w:t>
      </w:r>
    </w:p>
    <w:p w14:paraId="6EDE0545" w14:textId="77777777" w:rsidR="00D53337" w:rsidRPr="007349CF" w:rsidRDefault="009447F6" w:rsidP="00D53337">
      <w:pPr>
        <w:spacing w:before="240" w:after="120"/>
        <w:jc w:val="center"/>
        <w:rPr>
          <w:rFonts w:ascii="Arial" w:hAnsi="Arial" w:cs="Arial"/>
          <w:b/>
          <w:bCs/>
          <w:color w:val="000000"/>
          <w:sz w:val="22"/>
          <w:szCs w:val="22"/>
          <w:lang w:val="hr-HR"/>
        </w:rPr>
      </w:pPr>
      <w:r w:rsidRPr="007349CF">
        <w:rPr>
          <w:rFonts w:ascii="Arial" w:hAnsi="Arial" w:cs="Arial"/>
          <w:b/>
          <w:bCs/>
          <w:color w:val="000000"/>
          <w:sz w:val="22"/>
          <w:szCs w:val="22"/>
          <w:lang w:val="hr-HR"/>
        </w:rPr>
        <w:t xml:space="preserve">PRILOG </w:t>
      </w:r>
      <w:r w:rsidR="00D53337" w:rsidRPr="007349CF">
        <w:rPr>
          <w:rFonts w:ascii="Arial" w:hAnsi="Arial" w:cs="Arial"/>
          <w:b/>
          <w:bCs/>
          <w:color w:val="000000"/>
          <w:sz w:val="22"/>
          <w:szCs w:val="22"/>
          <w:lang w:val="hr-HR"/>
        </w:rPr>
        <w:t>II</w:t>
      </w:r>
    </w:p>
    <w:p w14:paraId="567D1D2E" w14:textId="77777777" w:rsidR="00D53337" w:rsidRPr="007349CF" w:rsidRDefault="009447F6" w:rsidP="00D53337">
      <w:pPr>
        <w:spacing w:before="240" w:after="120"/>
        <w:jc w:val="center"/>
        <w:rPr>
          <w:rFonts w:ascii="Arial" w:hAnsi="Arial" w:cs="Arial"/>
          <w:b/>
          <w:bCs/>
          <w:color w:val="000000"/>
          <w:sz w:val="22"/>
          <w:szCs w:val="22"/>
          <w:lang w:val="hr-HR"/>
        </w:rPr>
      </w:pPr>
      <w:r w:rsidRPr="007349CF">
        <w:rPr>
          <w:rFonts w:ascii="Arial" w:hAnsi="Arial" w:cs="Arial"/>
          <w:b/>
          <w:bCs/>
          <w:color w:val="000000"/>
          <w:sz w:val="22"/>
          <w:szCs w:val="22"/>
          <w:lang w:val="hr-HR"/>
        </w:rPr>
        <w:t>DEFINICIJA MSP-A</w:t>
      </w:r>
    </w:p>
    <w:p w14:paraId="18D543F5" w14:textId="77777777" w:rsidR="003D5D5F" w:rsidRPr="007349CF" w:rsidRDefault="003D5D5F" w:rsidP="003D5D5F">
      <w:pPr>
        <w:pStyle w:val="Bodytext41"/>
        <w:shd w:val="clear" w:color="auto" w:fill="auto"/>
        <w:tabs>
          <w:tab w:val="left" w:pos="4820"/>
        </w:tabs>
        <w:spacing w:before="120" w:after="0" w:line="240" w:lineRule="auto"/>
        <w:ind w:right="-5"/>
        <w:jc w:val="center"/>
        <w:rPr>
          <w:rStyle w:val="Bodytext46"/>
          <w:rFonts w:ascii="Arial" w:hAnsi="Arial" w:cs="Arial"/>
          <w:b/>
          <w:bCs/>
          <w:sz w:val="22"/>
          <w:szCs w:val="22"/>
          <w:lang w:val="hr-HR"/>
        </w:rPr>
      </w:pPr>
      <w:r w:rsidRPr="007349CF">
        <w:rPr>
          <w:rStyle w:val="Bodytext46"/>
          <w:rFonts w:ascii="Arial" w:hAnsi="Arial" w:cs="Arial"/>
          <w:bCs/>
          <w:sz w:val="22"/>
          <w:szCs w:val="22"/>
          <w:lang w:val="hr-HR"/>
        </w:rPr>
        <w:t>Članak 1.</w:t>
      </w:r>
    </w:p>
    <w:p w14:paraId="489CC41A" w14:textId="77777777" w:rsidR="003D5D5F" w:rsidRPr="007349CF" w:rsidRDefault="003D5D5F" w:rsidP="003D5D5F">
      <w:pPr>
        <w:pStyle w:val="Bodytext41"/>
        <w:shd w:val="clear" w:color="auto" w:fill="auto"/>
        <w:tabs>
          <w:tab w:val="left" w:pos="4820"/>
        </w:tabs>
        <w:spacing w:before="120" w:after="0" w:line="240" w:lineRule="auto"/>
        <w:ind w:right="-5"/>
        <w:jc w:val="center"/>
        <w:rPr>
          <w:rFonts w:ascii="Arial" w:hAnsi="Arial" w:cs="Arial"/>
          <w:sz w:val="22"/>
          <w:szCs w:val="22"/>
          <w:lang w:val="hr-HR"/>
        </w:rPr>
      </w:pPr>
      <w:r w:rsidRPr="007349CF">
        <w:rPr>
          <w:rStyle w:val="Bodytext40"/>
          <w:rFonts w:ascii="Arial" w:hAnsi="Arial" w:cs="Arial"/>
          <w:b/>
          <w:bCs/>
          <w:sz w:val="22"/>
          <w:szCs w:val="22"/>
          <w:lang w:val="hr-HR"/>
        </w:rPr>
        <w:t>Poduzetnik</w:t>
      </w:r>
    </w:p>
    <w:p w14:paraId="411BF8D4" w14:textId="77777777" w:rsidR="003D5D5F" w:rsidRPr="007349CF" w:rsidRDefault="003D5D5F" w:rsidP="003D5D5F">
      <w:pPr>
        <w:pStyle w:val="Bodytext31"/>
        <w:shd w:val="clear" w:color="auto" w:fill="auto"/>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Poduzetnik je subjekt koji sudjeluje u gospodarskoj djelatnosti bez obzira na njegov pravni oblik. To posebice uključuje samostalno zaposlene osobe i obiteljska poslovanja koja se bave obrtom ili drugim djelatnostima, kao i partnerstva ili udruženja koja redovito obavljaju gospodarske djelatnosti.</w:t>
      </w:r>
    </w:p>
    <w:p w14:paraId="6925BF9E" w14:textId="77777777" w:rsidR="003D5D5F" w:rsidRPr="007349CF" w:rsidRDefault="003D5D5F" w:rsidP="003D5D5F">
      <w:pPr>
        <w:pStyle w:val="Bodytext51"/>
        <w:shd w:val="clear" w:color="auto" w:fill="auto"/>
        <w:spacing w:before="120" w:after="0" w:line="240" w:lineRule="auto"/>
        <w:ind w:right="4"/>
        <w:jc w:val="center"/>
        <w:rPr>
          <w:rFonts w:ascii="Arial" w:hAnsi="Arial" w:cs="Arial"/>
          <w:sz w:val="22"/>
          <w:szCs w:val="22"/>
          <w:lang w:val="hr-HR"/>
        </w:rPr>
      </w:pPr>
      <w:r w:rsidRPr="007349CF">
        <w:rPr>
          <w:rStyle w:val="Bodytext50"/>
          <w:rFonts w:ascii="Arial" w:hAnsi="Arial" w:cs="Arial"/>
          <w:i/>
          <w:iCs/>
          <w:sz w:val="22"/>
          <w:szCs w:val="22"/>
          <w:lang w:val="hr-HR"/>
        </w:rPr>
        <w:t>Članak 2.</w:t>
      </w:r>
    </w:p>
    <w:p w14:paraId="68351219" w14:textId="77777777" w:rsidR="003D5D5F" w:rsidRPr="007349CF" w:rsidRDefault="003D5D5F" w:rsidP="003D5D5F">
      <w:pPr>
        <w:pStyle w:val="Bodytext41"/>
        <w:shd w:val="clear" w:color="auto" w:fill="auto"/>
        <w:spacing w:before="120" w:after="0" w:line="240" w:lineRule="auto"/>
        <w:jc w:val="center"/>
        <w:rPr>
          <w:rFonts w:ascii="Arial" w:hAnsi="Arial" w:cs="Arial"/>
          <w:sz w:val="22"/>
          <w:szCs w:val="22"/>
          <w:lang w:val="hr-HR"/>
        </w:rPr>
      </w:pPr>
      <w:r w:rsidRPr="007349CF">
        <w:rPr>
          <w:rStyle w:val="Bodytext40"/>
          <w:rFonts w:ascii="Arial" w:hAnsi="Arial" w:cs="Arial"/>
          <w:b/>
          <w:bCs/>
          <w:sz w:val="22"/>
          <w:szCs w:val="22"/>
          <w:lang w:val="hr-HR"/>
        </w:rPr>
        <w:t>Broj zaposlenika i financijske gornje granice koje određuju kategoriju poduzetnika</w:t>
      </w:r>
    </w:p>
    <w:p w14:paraId="57043308" w14:textId="77777777" w:rsidR="003D5D5F" w:rsidRPr="007349CF" w:rsidRDefault="003D5D5F" w:rsidP="003D5D5F">
      <w:pPr>
        <w:pStyle w:val="Bodytext31"/>
        <w:numPr>
          <w:ilvl w:val="6"/>
          <w:numId w:val="9"/>
        </w:numPr>
        <w:shd w:val="clear" w:color="auto" w:fill="auto"/>
        <w:tabs>
          <w:tab w:val="left" w:pos="404"/>
        </w:tabs>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Kategorija mikro, malih i srednjih poduzetnika (MSP) sastoji se od poduzetnika koja imaju manje od 250 zaposlenika te ostvaruju godišnji promet do 50 milijuna eura i/ili čiji ukupni iznos godišnje bilance ne prelazi 43 milijuna eura.</w:t>
      </w:r>
    </w:p>
    <w:p w14:paraId="57268D9A" w14:textId="77777777" w:rsidR="003D5D5F" w:rsidRPr="007349CF" w:rsidRDefault="003D5D5F" w:rsidP="003D5D5F">
      <w:pPr>
        <w:pStyle w:val="Bodytext31"/>
        <w:numPr>
          <w:ilvl w:val="6"/>
          <w:numId w:val="9"/>
        </w:numPr>
        <w:shd w:val="clear" w:color="auto" w:fill="auto"/>
        <w:tabs>
          <w:tab w:val="left" w:pos="404"/>
        </w:tabs>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U okviru kategorije MSP-a mali poduzetnik se definira kao poduzetnik s manje od 50 zaposlenika čiji godišnji promet i/ili ukupni iznos godišnje bilance ne prelazi 10 milijuna eura.</w:t>
      </w:r>
    </w:p>
    <w:p w14:paraId="7D1322A9" w14:textId="77777777" w:rsidR="003D5D5F" w:rsidRPr="007349CF" w:rsidRDefault="003D5D5F" w:rsidP="003D5D5F">
      <w:pPr>
        <w:pStyle w:val="Bodytext31"/>
        <w:numPr>
          <w:ilvl w:val="6"/>
          <w:numId w:val="9"/>
        </w:numPr>
        <w:shd w:val="clear" w:color="auto" w:fill="auto"/>
        <w:tabs>
          <w:tab w:val="left" w:pos="404"/>
        </w:tabs>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U okviru kategorije MSP-a, mikro poduzetnik se definira kao poduzetnik s manje od 10 zaposlenika čiji godišnji promet i/ili ukupni iznos godišnje bilance ne prelazi 2 milijuna eura.</w:t>
      </w:r>
    </w:p>
    <w:p w14:paraId="6225A5CD" w14:textId="77777777" w:rsidR="003D5D5F" w:rsidRPr="007349CF" w:rsidRDefault="003D5D5F" w:rsidP="003D5D5F">
      <w:pPr>
        <w:pStyle w:val="Bodytext51"/>
        <w:shd w:val="clear" w:color="auto" w:fill="auto"/>
        <w:spacing w:before="120" w:after="0" w:line="240" w:lineRule="auto"/>
        <w:ind w:right="3840"/>
        <w:rPr>
          <w:rStyle w:val="Bodytext50"/>
          <w:rFonts w:ascii="Arial" w:hAnsi="Arial" w:cs="Arial"/>
          <w:i/>
          <w:iCs/>
          <w:sz w:val="22"/>
          <w:szCs w:val="22"/>
          <w:lang w:val="hr-HR"/>
        </w:rPr>
      </w:pPr>
    </w:p>
    <w:p w14:paraId="5956A5C7" w14:textId="77777777" w:rsidR="003D5D5F" w:rsidRPr="007349CF" w:rsidRDefault="003D5D5F" w:rsidP="003D5D5F">
      <w:pPr>
        <w:pStyle w:val="Bodytext51"/>
        <w:shd w:val="clear" w:color="auto" w:fill="auto"/>
        <w:spacing w:before="120" w:after="0" w:line="240" w:lineRule="auto"/>
        <w:ind w:right="4"/>
        <w:jc w:val="center"/>
        <w:rPr>
          <w:rFonts w:ascii="Arial" w:hAnsi="Arial" w:cs="Arial"/>
          <w:sz w:val="22"/>
          <w:szCs w:val="22"/>
          <w:lang w:val="hr-HR"/>
        </w:rPr>
      </w:pPr>
      <w:r w:rsidRPr="007349CF">
        <w:rPr>
          <w:rStyle w:val="Bodytext50"/>
          <w:rFonts w:ascii="Arial" w:hAnsi="Arial" w:cs="Arial"/>
          <w:i/>
          <w:iCs/>
          <w:sz w:val="22"/>
          <w:szCs w:val="22"/>
          <w:lang w:val="hr-HR"/>
        </w:rPr>
        <w:t>Članak 3.</w:t>
      </w:r>
    </w:p>
    <w:p w14:paraId="6C22AA3E" w14:textId="77777777" w:rsidR="003D5D5F" w:rsidRPr="007349CF" w:rsidRDefault="003D5D5F" w:rsidP="003D5D5F">
      <w:pPr>
        <w:pStyle w:val="Bodytext41"/>
        <w:shd w:val="clear" w:color="auto" w:fill="auto"/>
        <w:spacing w:before="120" w:after="0" w:line="240" w:lineRule="auto"/>
        <w:ind w:left="600"/>
        <w:rPr>
          <w:rFonts w:ascii="Arial" w:hAnsi="Arial" w:cs="Arial"/>
          <w:sz w:val="22"/>
          <w:szCs w:val="22"/>
          <w:lang w:val="hr-HR"/>
        </w:rPr>
      </w:pPr>
      <w:r w:rsidRPr="007349CF">
        <w:rPr>
          <w:rStyle w:val="Bodytext40"/>
          <w:rFonts w:ascii="Arial" w:hAnsi="Arial" w:cs="Arial"/>
          <w:b/>
          <w:bCs/>
          <w:sz w:val="22"/>
          <w:szCs w:val="22"/>
          <w:lang w:val="hr-HR"/>
        </w:rPr>
        <w:t>Vrste poduzetnika koje se uzimaju u obzir prilikom izračuna broja zaposlenika i financijskih iznosa</w:t>
      </w:r>
    </w:p>
    <w:p w14:paraId="08E9FC65" w14:textId="77777777" w:rsidR="003D5D5F" w:rsidRPr="007349CF" w:rsidRDefault="003D5D5F" w:rsidP="003D5D5F">
      <w:pPr>
        <w:pStyle w:val="Bodytext31"/>
        <w:numPr>
          <w:ilvl w:val="7"/>
          <w:numId w:val="9"/>
        </w:numPr>
        <w:shd w:val="clear" w:color="auto" w:fill="auto"/>
        <w:tabs>
          <w:tab w:val="left" w:pos="399"/>
        </w:tabs>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„Samostalni poduzetnik“ je svaki poduzetnik koji nije klasificiran kao partnerski poduzetnik u smislu stavka 2. ili kao povezani poduzetnik u smislu stavka 3.</w:t>
      </w:r>
    </w:p>
    <w:p w14:paraId="13846983" w14:textId="77777777" w:rsidR="003D5D5F" w:rsidRPr="007349CF" w:rsidRDefault="003D5D5F" w:rsidP="003D5D5F">
      <w:pPr>
        <w:pStyle w:val="Bodytext31"/>
        <w:numPr>
          <w:ilvl w:val="7"/>
          <w:numId w:val="9"/>
        </w:numPr>
        <w:shd w:val="clear" w:color="auto" w:fill="auto"/>
        <w:tabs>
          <w:tab w:val="left" w:pos="414"/>
        </w:tabs>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„Partnerski poduzetnici“ su svi poduzetnici koji nisu klasificirani kao povezana društva u smislu stavka 3. i između kojih postoji sljedeći odnos: jedan poduzetnik (društvo na višoj razini proizvodnje) drži, samostalno ili zajedno s jednim ili više povezanih poduzetnika u smislu stavka 3., 25% ili više kapitala ili glasačkog prava u drugom poduzetniku (društvu na višoj razini proizvodnje).</w:t>
      </w:r>
    </w:p>
    <w:p w14:paraId="59D0909E" w14:textId="77777777" w:rsidR="003D5D5F" w:rsidRPr="007349CF" w:rsidRDefault="003D5D5F" w:rsidP="003D5D5F">
      <w:pPr>
        <w:pStyle w:val="Bodytext31"/>
        <w:shd w:val="clear" w:color="auto" w:fill="auto"/>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Međutim, poduzetnik se može definirati kao samostalan, pa stoga i da je bez poduzetnika</w:t>
      </w:r>
      <w:r w:rsidRPr="007349CF">
        <w:rPr>
          <w:rFonts w:ascii="Arial" w:eastAsia="Times New Roman" w:hAnsi="Arial" w:cs="Arial"/>
          <w:sz w:val="22"/>
          <w:szCs w:val="22"/>
          <w:lang w:val="hr-HR"/>
        </w:rPr>
        <w:t xml:space="preserve"> </w:t>
      </w:r>
      <w:r w:rsidRPr="007349CF">
        <w:rPr>
          <w:rStyle w:val="Bodytext34"/>
          <w:rFonts w:ascii="Arial" w:hAnsi="Arial" w:cs="Arial"/>
          <w:sz w:val="22"/>
          <w:szCs w:val="22"/>
          <w:lang w:val="hr-HR"/>
        </w:rPr>
        <w:t>partnera, čak i ako dolje navedeni ulagači dostignu ili premaše ovaj prag od 25%, pod uvjetom da spomenuti ulagači nisu pojedinačno ili zajednički povezani, u smislu stavka 3., s poduzetnikom u pitanju:</w:t>
      </w:r>
    </w:p>
    <w:p w14:paraId="3148E8EC" w14:textId="77777777" w:rsidR="003D5D5F" w:rsidRPr="007349CF" w:rsidRDefault="003D5D5F" w:rsidP="003D5D5F">
      <w:pPr>
        <w:pStyle w:val="Bodytext31"/>
        <w:numPr>
          <w:ilvl w:val="8"/>
          <w:numId w:val="9"/>
        </w:numPr>
        <w:shd w:val="clear" w:color="auto" w:fill="auto"/>
        <w:tabs>
          <w:tab w:val="left" w:pos="265"/>
        </w:tabs>
        <w:spacing w:before="120" w:after="0" w:line="240" w:lineRule="auto"/>
        <w:ind w:left="280" w:right="40" w:hanging="260"/>
        <w:rPr>
          <w:rStyle w:val="Bodytext34"/>
          <w:rFonts w:ascii="Arial" w:hAnsi="Arial" w:cs="Arial"/>
          <w:sz w:val="22"/>
          <w:szCs w:val="22"/>
          <w:lang w:val="hr-HR"/>
        </w:rPr>
      </w:pPr>
      <w:r w:rsidRPr="007349CF">
        <w:rPr>
          <w:rStyle w:val="Bodytext34"/>
          <w:rFonts w:ascii="Arial" w:hAnsi="Arial" w:cs="Arial"/>
          <w:sz w:val="22"/>
          <w:szCs w:val="22"/>
          <w:lang w:val="hr-HR"/>
        </w:rPr>
        <w:t>javna investicijska društva, društva s rizičnim kapitalom, pojedinci ili skupine pojedinaca s redovnom djelatnošću ulaganja rizič</w:t>
      </w:r>
      <w:r w:rsidRPr="007349CF">
        <w:rPr>
          <w:rStyle w:val="Bodytext34"/>
          <w:rFonts w:ascii="Arial" w:hAnsi="Arial" w:cs="Arial"/>
          <w:sz w:val="22"/>
          <w:szCs w:val="22"/>
          <w:lang w:val="hr-HR"/>
        </w:rPr>
        <w:softHyphen/>
        <w:t xml:space="preserve">nog kapitala koji ulažu vlasnički kapital u poslove bez </w:t>
      </w:r>
      <w:r w:rsidRPr="007349CF">
        <w:rPr>
          <w:rStyle w:val="Bodytext34"/>
          <w:rFonts w:ascii="Arial" w:hAnsi="Arial" w:cs="Arial"/>
          <w:sz w:val="22"/>
          <w:szCs w:val="22"/>
          <w:lang w:val="hr-HR"/>
        </w:rPr>
        <w:lastRenderedPageBreak/>
        <w:t xml:space="preserve">burzovne </w:t>
      </w:r>
      <w:proofErr w:type="spellStart"/>
      <w:r w:rsidRPr="007349CF">
        <w:rPr>
          <w:rStyle w:val="Bodytext34"/>
          <w:rFonts w:ascii="Arial" w:hAnsi="Arial" w:cs="Arial"/>
          <w:sz w:val="22"/>
          <w:szCs w:val="22"/>
          <w:lang w:val="hr-HR"/>
        </w:rPr>
        <w:t>kvotacije</w:t>
      </w:r>
      <w:proofErr w:type="spellEnd"/>
      <w:r w:rsidRPr="007349CF">
        <w:rPr>
          <w:rStyle w:val="Bodytext34"/>
          <w:rFonts w:ascii="Arial" w:hAnsi="Arial" w:cs="Arial"/>
          <w:sz w:val="22"/>
          <w:szCs w:val="22"/>
          <w:lang w:val="hr-HR"/>
        </w:rPr>
        <w:t xml:space="preserve"> („poslovni anđeli“), pod uvjetom da su ukupna ulaganja navedenih poslovnih anđela u istome poduzetniku manja od 1.250.000 eura;</w:t>
      </w:r>
    </w:p>
    <w:p w14:paraId="551C724F" w14:textId="77777777" w:rsidR="003D5D5F" w:rsidRPr="007349CF" w:rsidRDefault="003D5D5F" w:rsidP="003D5D5F">
      <w:pPr>
        <w:pStyle w:val="Bodytext31"/>
        <w:numPr>
          <w:ilvl w:val="8"/>
          <w:numId w:val="9"/>
        </w:numPr>
        <w:shd w:val="clear" w:color="auto" w:fill="auto"/>
        <w:tabs>
          <w:tab w:val="left" w:pos="279"/>
        </w:tabs>
        <w:spacing w:before="120" w:after="0" w:line="240" w:lineRule="auto"/>
        <w:ind w:left="20" w:firstLine="0"/>
        <w:rPr>
          <w:rStyle w:val="Bodytext34"/>
          <w:rFonts w:ascii="Arial" w:hAnsi="Arial" w:cs="Arial"/>
          <w:sz w:val="22"/>
          <w:szCs w:val="22"/>
          <w:lang w:val="hr-HR"/>
        </w:rPr>
      </w:pPr>
      <w:r w:rsidRPr="007349CF">
        <w:rPr>
          <w:rStyle w:val="Bodytext34"/>
          <w:rFonts w:ascii="Arial" w:hAnsi="Arial" w:cs="Arial"/>
          <w:sz w:val="22"/>
          <w:szCs w:val="22"/>
          <w:lang w:val="hr-HR"/>
        </w:rPr>
        <w:t>sveučilišta ili neprofitni istraživački centri;</w:t>
      </w:r>
    </w:p>
    <w:p w14:paraId="3F5A32F7" w14:textId="77777777" w:rsidR="003D5D5F" w:rsidRPr="007349CF" w:rsidRDefault="003D5D5F" w:rsidP="003D5D5F">
      <w:pPr>
        <w:pStyle w:val="Bodytext31"/>
        <w:numPr>
          <w:ilvl w:val="8"/>
          <w:numId w:val="9"/>
        </w:numPr>
        <w:shd w:val="clear" w:color="auto" w:fill="auto"/>
        <w:tabs>
          <w:tab w:val="left" w:pos="260"/>
        </w:tabs>
        <w:spacing w:before="120" w:after="0" w:line="240" w:lineRule="auto"/>
        <w:ind w:left="20" w:firstLine="0"/>
        <w:rPr>
          <w:rStyle w:val="Bodytext34"/>
          <w:rFonts w:ascii="Arial" w:hAnsi="Arial" w:cs="Arial"/>
          <w:sz w:val="22"/>
          <w:szCs w:val="22"/>
          <w:lang w:val="hr-HR"/>
        </w:rPr>
      </w:pPr>
      <w:r w:rsidRPr="007349CF">
        <w:rPr>
          <w:rStyle w:val="Bodytext34"/>
          <w:rFonts w:ascii="Arial" w:hAnsi="Arial" w:cs="Arial"/>
          <w:sz w:val="22"/>
          <w:szCs w:val="22"/>
          <w:lang w:val="hr-HR"/>
        </w:rPr>
        <w:t>institucionalni ulagači, uključujući regionalne razvojne fondove;</w:t>
      </w:r>
    </w:p>
    <w:p w14:paraId="026207A6" w14:textId="77777777" w:rsidR="003D5D5F" w:rsidRPr="007349CF" w:rsidRDefault="003D5D5F" w:rsidP="003D5D5F">
      <w:pPr>
        <w:pStyle w:val="Bodytext31"/>
        <w:numPr>
          <w:ilvl w:val="8"/>
          <w:numId w:val="9"/>
        </w:numPr>
        <w:shd w:val="clear" w:color="auto" w:fill="auto"/>
        <w:tabs>
          <w:tab w:val="left" w:pos="274"/>
        </w:tabs>
        <w:spacing w:before="120" w:after="0" w:line="240" w:lineRule="auto"/>
        <w:ind w:left="20" w:firstLine="0"/>
        <w:rPr>
          <w:rStyle w:val="Bodytext34"/>
          <w:rFonts w:ascii="Arial" w:hAnsi="Arial" w:cs="Arial"/>
          <w:sz w:val="22"/>
          <w:szCs w:val="22"/>
          <w:lang w:val="hr-HR"/>
        </w:rPr>
      </w:pPr>
      <w:r w:rsidRPr="007349CF">
        <w:rPr>
          <w:rStyle w:val="Bodytext34"/>
          <w:rFonts w:ascii="Arial" w:hAnsi="Arial" w:cs="Arial"/>
          <w:sz w:val="22"/>
          <w:szCs w:val="22"/>
          <w:lang w:val="hr-HR"/>
        </w:rPr>
        <w:t>samostalna lokalna tijela s godišnjim proračunom manjim od 10 milijuna eura i s manje od 5.000 stanovnika.</w:t>
      </w:r>
    </w:p>
    <w:p w14:paraId="05CC1D96" w14:textId="77777777" w:rsidR="003D5D5F" w:rsidRPr="007349CF" w:rsidRDefault="003D5D5F" w:rsidP="003D5D5F">
      <w:pPr>
        <w:pStyle w:val="Bodytext31"/>
        <w:numPr>
          <w:ilvl w:val="7"/>
          <w:numId w:val="9"/>
        </w:numPr>
        <w:shd w:val="clear" w:color="auto" w:fill="auto"/>
        <w:tabs>
          <w:tab w:val="left" w:pos="390"/>
        </w:tabs>
        <w:spacing w:before="120" w:after="0" w:line="240" w:lineRule="auto"/>
        <w:ind w:left="20" w:firstLine="0"/>
        <w:rPr>
          <w:rStyle w:val="Bodytext34"/>
          <w:rFonts w:ascii="Arial" w:hAnsi="Arial" w:cs="Arial"/>
          <w:sz w:val="22"/>
          <w:szCs w:val="22"/>
          <w:lang w:val="hr-HR"/>
        </w:rPr>
      </w:pPr>
      <w:r w:rsidRPr="007349CF">
        <w:rPr>
          <w:rStyle w:val="Bodytext34"/>
          <w:rFonts w:ascii="Arial" w:hAnsi="Arial" w:cs="Arial"/>
          <w:sz w:val="22"/>
          <w:szCs w:val="22"/>
          <w:lang w:val="hr-HR"/>
        </w:rPr>
        <w:t>„Povezani poduzetnici“ su poduzetnici između kojih postoje neki od sljedećih odnosa:</w:t>
      </w:r>
    </w:p>
    <w:p w14:paraId="0297B267" w14:textId="77777777" w:rsidR="003D5D5F" w:rsidRPr="007349CF" w:rsidRDefault="003D5D5F" w:rsidP="003D5D5F">
      <w:pPr>
        <w:pStyle w:val="Bodytext31"/>
        <w:numPr>
          <w:ilvl w:val="8"/>
          <w:numId w:val="9"/>
        </w:numPr>
        <w:shd w:val="clear" w:color="auto" w:fill="auto"/>
        <w:tabs>
          <w:tab w:val="left" w:pos="265"/>
        </w:tabs>
        <w:spacing w:before="120" w:after="0" w:line="240" w:lineRule="auto"/>
        <w:ind w:left="20" w:firstLine="0"/>
        <w:rPr>
          <w:rStyle w:val="Bodytext34"/>
          <w:rFonts w:ascii="Arial" w:hAnsi="Arial" w:cs="Arial"/>
          <w:sz w:val="22"/>
          <w:szCs w:val="22"/>
          <w:lang w:val="hr-HR"/>
        </w:rPr>
      </w:pPr>
      <w:r w:rsidRPr="007349CF">
        <w:rPr>
          <w:rStyle w:val="Bodytext34"/>
          <w:rFonts w:ascii="Arial" w:hAnsi="Arial" w:cs="Arial"/>
          <w:sz w:val="22"/>
          <w:szCs w:val="22"/>
          <w:lang w:val="hr-HR"/>
        </w:rPr>
        <w:t>jedan poduzetnik ima većinu glasačkih prava dioničara i članova u drugome poduzetniku;</w:t>
      </w:r>
    </w:p>
    <w:p w14:paraId="10A3D8A7" w14:textId="77777777" w:rsidR="003D5D5F" w:rsidRPr="007349CF" w:rsidRDefault="003D5D5F" w:rsidP="003D5D5F">
      <w:pPr>
        <w:pStyle w:val="Bodytext31"/>
        <w:numPr>
          <w:ilvl w:val="8"/>
          <w:numId w:val="9"/>
        </w:numPr>
        <w:shd w:val="clear" w:color="auto" w:fill="auto"/>
        <w:tabs>
          <w:tab w:val="left" w:pos="279"/>
        </w:tabs>
        <w:spacing w:before="120" w:after="0" w:line="240" w:lineRule="auto"/>
        <w:ind w:left="20" w:firstLine="0"/>
        <w:rPr>
          <w:rStyle w:val="Bodytext34"/>
          <w:rFonts w:ascii="Arial" w:hAnsi="Arial" w:cs="Arial"/>
          <w:sz w:val="22"/>
          <w:szCs w:val="22"/>
          <w:lang w:val="hr-HR"/>
        </w:rPr>
      </w:pPr>
      <w:r w:rsidRPr="007349CF">
        <w:rPr>
          <w:rStyle w:val="Bodytext34"/>
          <w:rFonts w:ascii="Arial" w:hAnsi="Arial" w:cs="Arial"/>
          <w:sz w:val="22"/>
          <w:szCs w:val="22"/>
          <w:lang w:val="hr-HR"/>
        </w:rPr>
        <w:t>jedan poduzetnik ima pravo imenovati ili smijeniti većinu članova uprave ili nadzornog odbora drugog poduzetnika;</w:t>
      </w:r>
    </w:p>
    <w:p w14:paraId="78BB2E93" w14:textId="77777777" w:rsidR="003D5D5F" w:rsidRPr="007349CF" w:rsidRDefault="003D5D5F" w:rsidP="003D5D5F">
      <w:pPr>
        <w:pStyle w:val="Bodytext31"/>
        <w:numPr>
          <w:ilvl w:val="8"/>
          <w:numId w:val="9"/>
        </w:numPr>
        <w:shd w:val="clear" w:color="auto" w:fill="auto"/>
        <w:tabs>
          <w:tab w:val="left" w:pos="260"/>
        </w:tabs>
        <w:spacing w:before="120" w:after="0" w:line="240" w:lineRule="auto"/>
        <w:ind w:left="280" w:right="40" w:hanging="260"/>
        <w:rPr>
          <w:rStyle w:val="Bodytext34"/>
          <w:rFonts w:ascii="Arial" w:hAnsi="Arial" w:cs="Arial"/>
          <w:sz w:val="22"/>
          <w:szCs w:val="22"/>
          <w:lang w:val="hr-HR"/>
        </w:rPr>
      </w:pPr>
      <w:r w:rsidRPr="007349CF">
        <w:rPr>
          <w:rStyle w:val="Bodytext34"/>
          <w:rFonts w:ascii="Arial" w:hAnsi="Arial" w:cs="Arial"/>
          <w:sz w:val="22"/>
          <w:szCs w:val="22"/>
          <w:lang w:val="hr-HR"/>
        </w:rPr>
        <w:t>jedan poduzetnik ima pravo vršiti dominantni utjecaj nad drugim poduzetnikom u skladu s ugovorom sklopljenim s tim poduzetnikom ili u skladu s odredbom iz statuta poduzetnika;</w:t>
      </w:r>
    </w:p>
    <w:p w14:paraId="3FF6B844" w14:textId="77777777" w:rsidR="003D5D5F" w:rsidRPr="007349CF" w:rsidRDefault="003D5D5F" w:rsidP="003D5D5F">
      <w:pPr>
        <w:pStyle w:val="Bodytext31"/>
        <w:numPr>
          <w:ilvl w:val="8"/>
          <w:numId w:val="9"/>
        </w:numPr>
        <w:shd w:val="clear" w:color="auto" w:fill="auto"/>
        <w:tabs>
          <w:tab w:val="left" w:pos="274"/>
        </w:tabs>
        <w:spacing w:before="120" w:after="0" w:line="240" w:lineRule="auto"/>
        <w:ind w:left="280" w:right="40" w:hanging="260"/>
        <w:rPr>
          <w:rStyle w:val="Bodytext34"/>
          <w:rFonts w:ascii="Arial" w:hAnsi="Arial" w:cs="Arial"/>
          <w:sz w:val="22"/>
          <w:szCs w:val="22"/>
          <w:lang w:val="hr-HR"/>
        </w:rPr>
      </w:pPr>
      <w:r w:rsidRPr="007349CF">
        <w:rPr>
          <w:rStyle w:val="Bodytext34"/>
          <w:rFonts w:ascii="Arial" w:hAnsi="Arial" w:cs="Arial"/>
          <w:sz w:val="22"/>
          <w:szCs w:val="22"/>
          <w:lang w:val="hr-HR"/>
        </w:rPr>
        <w:t>jedan poduzetnik, koji je dioničar ili član drugog poduzetnika, temeljem sporazuma s ostalim dioničarima ili članovima tog poduzetnika, samostalno kontrolira većinu glasačkih prava dioničara ili članova u tome poduzetniku.</w:t>
      </w:r>
    </w:p>
    <w:p w14:paraId="7707E649" w14:textId="77777777" w:rsidR="003D5D5F" w:rsidRPr="007349CF" w:rsidRDefault="003D5D5F" w:rsidP="003D5D5F">
      <w:pPr>
        <w:pStyle w:val="Bodytext31"/>
        <w:shd w:val="clear" w:color="auto" w:fill="auto"/>
        <w:spacing w:before="120" w:after="0" w:line="240" w:lineRule="auto"/>
        <w:ind w:left="20" w:right="40" w:firstLine="0"/>
        <w:rPr>
          <w:rStyle w:val="Bodytext34"/>
          <w:rFonts w:ascii="Arial" w:hAnsi="Arial" w:cs="Arial"/>
          <w:sz w:val="22"/>
          <w:szCs w:val="22"/>
          <w:lang w:val="hr-HR"/>
        </w:rPr>
      </w:pPr>
      <w:r w:rsidRPr="007349CF">
        <w:rPr>
          <w:rStyle w:val="Bodytext34"/>
          <w:rFonts w:ascii="Arial" w:hAnsi="Arial" w:cs="Arial"/>
          <w:sz w:val="22"/>
          <w:szCs w:val="22"/>
          <w:lang w:val="hr-HR"/>
        </w:rPr>
        <w:t>Pretpostavlja se da dominantni utjecaj ne postoji ukoliko ulagači iz druge točke stavka 2. nisu izravno ili neizravno uključeni u upravljanje dotičnim poduzetnikom, ne dovodeći u pitanje njihova prava kao vlasnika udjela.</w:t>
      </w:r>
    </w:p>
    <w:p w14:paraId="051A79B5" w14:textId="77777777" w:rsidR="003D5D5F" w:rsidRPr="007349CF" w:rsidRDefault="003D5D5F" w:rsidP="003D5D5F">
      <w:pPr>
        <w:pStyle w:val="Bodytext31"/>
        <w:shd w:val="clear" w:color="auto" w:fill="auto"/>
        <w:spacing w:before="120" w:after="0" w:line="240" w:lineRule="auto"/>
        <w:ind w:left="20" w:right="20" w:firstLine="0"/>
        <w:rPr>
          <w:rStyle w:val="Bodytext34"/>
          <w:rFonts w:ascii="Arial" w:hAnsi="Arial" w:cs="Arial"/>
          <w:sz w:val="22"/>
          <w:szCs w:val="22"/>
          <w:lang w:val="hr-HR"/>
        </w:rPr>
      </w:pPr>
      <w:r w:rsidRPr="007349CF">
        <w:rPr>
          <w:rStyle w:val="Bodytext34"/>
          <w:rFonts w:ascii="Arial" w:hAnsi="Arial" w:cs="Arial"/>
          <w:sz w:val="22"/>
          <w:szCs w:val="22"/>
          <w:lang w:val="hr-HR"/>
        </w:rPr>
        <w:t>Poduzetnici između kojih postoji neki od odnosa opisanih u prvoj točki preko jednog ili više drugih poduzetnika ili koji imaju ulagače spomenute u stavku 2. također se smatraju povezanim poduzetnicima.</w:t>
      </w:r>
    </w:p>
    <w:p w14:paraId="63BBB98B" w14:textId="77777777" w:rsidR="003D5D5F" w:rsidRPr="007349CF" w:rsidRDefault="003D5D5F" w:rsidP="003D5D5F">
      <w:pPr>
        <w:pStyle w:val="Bodytext31"/>
        <w:shd w:val="clear" w:color="auto" w:fill="auto"/>
        <w:spacing w:before="120" w:after="0" w:line="240" w:lineRule="auto"/>
        <w:ind w:left="20" w:right="20" w:firstLine="0"/>
        <w:rPr>
          <w:rStyle w:val="Bodytext34"/>
          <w:rFonts w:ascii="Arial" w:hAnsi="Arial" w:cs="Arial"/>
          <w:sz w:val="22"/>
          <w:szCs w:val="22"/>
          <w:lang w:val="hr-HR"/>
        </w:rPr>
      </w:pPr>
      <w:r w:rsidRPr="007349CF">
        <w:rPr>
          <w:rStyle w:val="Bodytext34"/>
          <w:rFonts w:ascii="Arial" w:hAnsi="Arial" w:cs="Arial"/>
          <w:sz w:val="22"/>
          <w:szCs w:val="22"/>
          <w:lang w:val="hr-HR"/>
        </w:rPr>
        <w:t>Poduzetnici između kojih postoji neki od ovih odnosa preko jedne fizičke osobe ili skupine fizičkih osoba koje posluju zajednički, također se smatraju povezanim poduzetnicima pod uvjetom da svoju djelatnost ili dio svoje djelatnosti obavljaju na mjerodavnom tržištu ili na susjednim tržištima.</w:t>
      </w:r>
    </w:p>
    <w:p w14:paraId="33C9EA74"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„Susjednim tržištem“ smatra se tržište određenog proizvoda ili usluge koje se nalazi na višoj ili nižoj razini proizvodnje u odnosu na relevantno tržište.</w:t>
      </w:r>
    </w:p>
    <w:p w14:paraId="64343FA0" w14:textId="77777777" w:rsidR="003D5D5F" w:rsidRPr="007349CF" w:rsidRDefault="003D5D5F" w:rsidP="003D5D5F">
      <w:pPr>
        <w:pStyle w:val="Bodytext31"/>
        <w:numPr>
          <w:ilvl w:val="7"/>
          <w:numId w:val="9"/>
        </w:numPr>
        <w:shd w:val="clear" w:color="auto" w:fill="auto"/>
        <w:tabs>
          <w:tab w:val="left" w:pos="404"/>
        </w:tabs>
        <w:spacing w:before="120" w:after="0" w:line="240" w:lineRule="auto"/>
        <w:ind w:left="20" w:right="20" w:firstLine="0"/>
        <w:rPr>
          <w:rStyle w:val="Bodytext34"/>
          <w:rFonts w:ascii="Arial" w:hAnsi="Arial" w:cs="Arial"/>
          <w:sz w:val="22"/>
          <w:szCs w:val="22"/>
          <w:lang w:val="hr-HR"/>
        </w:rPr>
      </w:pPr>
      <w:r w:rsidRPr="007349CF">
        <w:rPr>
          <w:rStyle w:val="Bodytext34"/>
          <w:rFonts w:ascii="Arial" w:hAnsi="Arial" w:cs="Arial"/>
          <w:sz w:val="22"/>
          <w:szCs w:val="22"/>
          <w:lang w:val="hr-HR"/>
        </w:rPr>
        <w:t>Osim slučajeva iz stavka 2. druge točke, poduzetnik se ne može smatrati MSP-om ako jedno ili više javnih tijela zajednički ili pojedinačno, izravno ili neizravno, kontrolira 25% ili više udjela u kapitalu ili prava glasa.</w:t>
      </w:r>
    </w:p>
    <w:p w14:paraId="4379D503" w14:textId="77777777" w:rsidR="003D5D5F" w:rsidRPr="007349CF" w:rsidRDefault="003D5D5F" w:rsidP="003D5D5F">
      <w:pPr>
        <w:pStyle w:val="Bodytext31"/>
        <w:numPr>
          <w:ilvl w:val="7"/>
          <w:numId w:val="9"/>
        </w:numPr>
        <w:shd w:val="clear" w:color="auto" w:fill="auto"/>
        <w:tabs>
          <w:tab w:val="left" w:pos="409"/>
        </w:tabs>
        <w:spacing w:before="120" w:after="0" w:line="240" w:lineRule="auto"/>
        <w:ind w:left="20" w:right="20" w:firstLine="0"/>
        <w:rPr>
          <w:rStyle w:val="Bodytext34"/>
          <w:rFonts w:ascii="Arial" w:hAnsi="Arial" w:cs="Arial"/>
          <w:sz w:val="22"/>
          <w:szCs w:val="22"/>
          <w:lang w:val="hr-HR"/>
        </w:rPr>
      </w:pPr>
      <w:r w:rsidRPr="007349CF">
        <w:rPr>
          <w:rStyle w:val="Bodytext34"/>
          <w:rFonts w:ascii="Arial" w:hAnsi="Arial" w:cs="Arial"/>
          <w:sz w:val="22"/>
          <w:szCs w:val="22"/>
          <w:lang w:val="hr-HR"/>
        </w:rPr>
        <w:t>Poduzetnici mogu davati izjave o svome statusu samostalnih, partnerskih ili povezanih društava, uključujući sve podatke koji se odnose na gornje granice iz članka 2. Izjava se može dati čak i ako raspodjela kapitala ne omogućava točno određivanje njegova držatelja, pri čemu poduzetnik može u dobroj vjeri izjaviti kako legitimno pretpostavlja da se 25 % ili više njegova udjela ne nalazi u vlasništvu jednog poduzetnika ili u zajedničkom vlasništvu povezanih poduzetnika. Spomenuta izjava ne dovodi u pitanje provjere i ispitivanja predviđena nacionalnim propisima ili propisima Zajednice.</w:t>
      </w:r>
    </w:p>
    <w:p w14:paraId="33ED9F8B" w14:textId="77777777" w:rsidR="003D5D5F" w:rsidRPr="007349CF" w:rsidRDefault="003D5D5F" w:rsidP="003D5D5F">
      <w:pPr>
        <w:pStyle w:val="Bodytext31"/>
        <w:shd w:val="clear" w:color="auto" w:fill="auto"/>
        <w:tabs>
          <w:tab w:val="left" w:pos="409"/>
        </w:tabs>
        <w:spacing w:before="120" w:after="0" w:line="240" w:lineRule="auto"/>
        <w:ind w:left="20" w:right="20" w:firstLine="0"/>
        <w:rPr>
          <w:rStyle w:val="Bodytext34"/>
          <w:rFonts w:ascii="Arial" w:hAnsi="Arial" w:cs="Arial"/>
          <w:sz w:val="22"/>
          <w:szCs w:val="22"/>
          <w:lang w:val="hr-HR"/>
        </w:rPr>
      </w:pPr>
    </w:p>
    <w:p w14:paraId="3E0E6DF7" w14:textId="77777777" w:rsidR="003D5D5F" w:rsidRPr="007349CF" w:rsidRDefault="003D5D5F" w:rsidP="003D5D5F">
      <w:pPr>
        <w:pStyle w:val="Bodytext51"/>
        <w:shd w:val="clear" w:color="auto" w:fill="auto"/>
        <w:spacing w:before="120" w:after="0" w:line="240" w:lineRule="auto"/>
        <w:ind w:left="20"/>
        <w:jc w:val="center"/>
        <w:rPr>
          <w:rFonts w:ascii="Arial" w:hAnsi="Arial" w:cs="Arial"/>
          <w:sz w:val="22"/>
          <w:szCs w:val="22"/>
          <w:lang w:val="hr-HR"/>
        </w:rPr>
      </w:pPr>
      <w:r w:rsidRPr="007349CF">
        <w:rPr>
          <w:rStyle w:val="Bodytext53"/>
          <w:rFonts w:ascii="Arial" w:hAnsi="Arial" w:cs="Arial"/>
          <w:i/>
          <w:iCs/>
          <w:sz w:val="22"/>
          <w:szCs w:val="22"/>
          <w:lang w:val="hr-HR"/>
        </w:rPr>
        <w:t>Članak 4.</w:t>
      </w:r>
    </w:p>
    <w:p w14:paraId="4A9D67BC" w14:textId="77777777" w:rsidR="003D5D5F" w:rsidRPr="007349CF" w:rsidRDefault="003D5D5F" w:rsidP="003D5D5F">
      <w:pPr>
        <w:pStyle w:val="Bodytext41"/>
        <w:shd w:val="clear" w:color="auto" w:fill="auto"/>
        <w:spacing w:before="120" w:after="0" w:line="240" w:lineRule="auto"/>
        <w:ind w:left="20"/>
        <w:jc w:val="center"/>
        <w:rPr>
          <w:rFonts w:ascii="Arial" w:hAnsi="Arial" w:cs="Arial"/>
          <w:sz w:val="22"/>
          <w:szCs w:val="22"/>
          <w:lang w:val="hr-HR"/>
        </w:rPr>
      </w:pPr>
      <w:r w:rsidRPr="007349CF">
        <w:rPr>
          <w:rStyle w:val="Bodytext43"/>
          <w:rFonts w:ascii="Arial" w:hAnsi="Arial" w:cs="Arial"/>
          <w:b/>
          <w:bCs/>
          <w:sz w:val="22"/>
          <w:szCs w:val="22"/>
          <w:lang w:val="hr-HR"/>
        </w:rPr>
        <w:lastRenderedPageBreak/>
        <w:t>Podaci koji se koriste za izračun broja zaposlenika, financijskih iznosa i referentno razdoblje</w:t>
      </w:r>
    </w:p>
    <w:p w14:paraId="13A16A52" w14:textId="77777777" w:rsidR="003D5D5F" w:rsidRPr="007349CF" w:rsidRDefault="003D5D5F" w:rsidP="003D5D5F">
      <w:pPr>
        <w:pStyle w:val="Bodytext31"/>
        <w:numPr>
          <w:ilvl w:val="0"/>
          <w:numId w:val="10"/>
        </w:numPr>
        <w:shd w:val="clear" w:color="auto" w:fill="auto"/>
        <w:tabs>
          <w:tab w:val="left" w:pos="399"/>
        </w:tabs>
        <w:spacing w:before="120" w:after="0" w:line="240" w:lineRule="auto"/>
        <w:ind w:left="20" w:right="20" w:firstLine="0"/>
        <w:rPr>
          <w:rFonts w:ascii="Arial" w:hAnsi="Arial" w:cs="Arial"/>
          <w:sz w:val="22"/>
          <w:szCs w:val="22"/>
          <w:lang w:val="hr-HR"/>
        </w:rPr>
      </w:pPr>
      <w:r w:rsidRPr="007349CF">
        <w:rPr>
          <w:rStyle w:val="Bodytext33"/>
          <w:rFonts w:ascii="Arial" w:hAnsi="Arial" w:cs="Arial"/>
          <w:sz w:val="22"/>
          <w:szCs w:val="22"/>
          <w:lang w:val="hr-HR"/>
        </w:rPr>
        <w:t>Podaci koji se koriste za izračun broja zaposlenika i financijskih iznosa odnose se na zadnje odobreno računovodstveno razdoblje i izračunavaju se na godišnjoj osnovi. Uzimaju se u obzir počevši od datuma zaključivanja financijskih izvješća. Iznos prometa se izračunava bez poreza na dodanu vrijednost (PDV) i ostalog neizravnog oporezivanja.</w:t>
      </w:r>
    </w:p>
    <w:p w14:paraId="32788928" w14:textId="77777777" w:rsidR="003D5D5F" w:rsidRPr="007349CF" w:rsidRDefault="003D5D5F" w:rsidP="003D5D5F">
      <w:pPr>
        <w:pStyle w:val="Bodytext31"/>
        <w:numPr>
          <w:ilvl w:val="0"/>
          <w:numId w:val="10"/>
        </w:numPr>
        <w:shd w:val="clear" w:color="auto" w:fill="auto"/>
        <w:tabs>
          <w:tab w:val="left" w:pos="404"/>
        </w:tabs>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Ako na datum zaključivanja financijskih izvješća poduzetnik otkrije da je na godišnjoj osnovi premašio ili pao ispod broja zaposlenika ili financijskih gornjih granica iz članka 2., to neće rezultirati gubitkom ili stjecanjem statusa srednjeg, malog ili mikro poduzetnika osim ako se spomenute gornje granice ne premaše tijekom dva uzastopna računovodstvena razdoblja.</w:t>
      </w:r>
    </w:p>
    <w:p w14:paraId="5532944E" w14:textId="77777777" w:rsidR="003D5D5F" w:rsidRPr="007349CF" w:rsidRDefault="003D5D5F" w:rsidP="003D5D5F">
      <w:pPr>
        <w:pStyle w:val="Bodytext31"/>
        <w:numPr>
          <w:ilvl w:val="0"/>
          <w:numId w:val="10"/>
        </w:numPr>
        <w:shd w:val="clear" w:color="auto" w:fill="auto"/>
        <w:tabs>
          <w:tab w:val="left" w:pos="404"/>
        </w:tabs>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Što se tiče novoosnovanih poduzetnika čija financijska izvješća još nisu odobrena, podaci u pitanju se izvode iz procjene u dobroj vjeri tijekom financijske godine.</w:t>
      </w:r>
    </w:p>
    <w:p w14:paraId="107046D6" w14:textId="77777777" w:rsidR="003D5D5F" w:rsidRPr="007349CF" w:rsidRDefault="003D5D5F" w:rsidP="003D5D5F">
      <w:pPr>
        <w:pStyle w:val="Bodytext41"/>
        <w:shd w:val="clear" w:color="auto" w:fill="auto"/>
        <w:spacing w:before="120" w:after="0" w:line="240" w:lineRule="auto"/>
        <w:ind w:left="20"/>
        <w:jc w:val="center"/>
        <w:rPr>
          <w:rStyle w:val="Bodytext462"/>
          <w:rFonts w:ascii="Arial" w:hAnsi="Arial" w:cs="Arial"/>
          <w:bCs/>
          <w:sz w:val="22"/>
          <w:szCs w:val="22"/>
          <w:lang w:val="hr-HR"/>
        </w:rPr>
      </w:pPr>
    </w:p>
    <w:p w14:paraId="3E5A32B2" w14:textId="77777777" w:rsidR="003D5D5F" w:rsidRPr="007349CF" w:rsidRDefault="003D5D5F" w:rsidP="003D5D5F">
      <w:pPr>
        <w:pStyle w:val="Bodytext41"/>
        <w:shd w:val="clear" w:color="auto" w:fill="auto"/>
        <w:spacing w:before="120" w:after="0" w:line="240" w:lineRule="auto"/>
        <w:ind w:left="20"/>
        <w:jc w:val="center"/>
        <w:rPr>
          <w:rStyle w:val="Bodytext462"/>
          <w:rFonts w:ascii="Arial" w:hAnsi="Arial" w:cs="Arial"/>
          <w:bCs/>
          <w:sz w:val="22"/>
          <w:szCs w:val="22"/>
          <w:lang w:val="hr-HR"/>
        </w:rPr>
      </w:pPr>
      <w:r w:rsidRPr="007349CF">
        <w:rPr>
          <w:rStyle w:val="Bodytext462"/>
          <w:rFonts w:ascii="Arial" w:hAnsi="Arial" w:cs="Arial"/>
          <w:bCs/>
          <w:sz w:val="22"/>
          <w:szCs w:val="22"/>
          <w:lang w:val="hr-HR"/>
        </w:rPr>
        <w:t xml:space="preserve">Članak 5. </w:t>
      </w:r>
    </w:p>
    <w:p w14:paraId="25579DEC" w14:textId="77777777" w:rsidR="003D5D5F" w:rsidRPr="007349CF" w:rsidRDefault="003D5D5F" w:rsidP="003D5D5F">
      <w:pPr>
        <w:pStyle w:val="Bodytext41"/>
        <w:shd w:val="clear" w:color="auto" w:fill="auto"/>
        <w:spacing w:before="120" w:after="0" w:line="240" w:lineRule="auto"/>
        <w:ind w:left="23"/>
        <w:jc w:val="center"/>
        <w:rPr>
          <w:rStyle w:val="Bodytext43"/>
          <w:rFonts w:ascii="Arial" w:hAnsi="Arial" w:cs="Arial"/>
          <w:b/>
          <w:bCs/>
          <w:sz w:val="22"/>
          <w:szCs w:val="22"/>
          <w:lang w:val="hr-HR"/>
        </w:rPr>
      </w:pPr>
      <w:r w:rsidRPr="007349CF">
        <w:rPr>
          <w:rStyle w:val="Bodytext43"/>
          <w:rFonts w:ascii="Arial" w:hAnsi="Arial" w:cs="Arial"/>
          <w:b/>
          <w:bCs/>
          <w:sz w:val="22"/>
          <w:szCs w:val="22"/>
          <w:lang w:val="hr-HR"/>
        </w:rPr>
        <w:t>Izračun broja zaposlenika</w:t>
      </w:r>
    </w:p>
    <w:p w14:paraId="2D52369C"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Broj zaposlenika odgovara broju godišnjih radnih jedinica (GRJ), tj. broju osoba koje su tijekom cijele referentne godine radile puno radno vrijeme u dotičnom poduzetniku ili u njegovo ime. Rad osoba koje nisu radile cijele godine, koje su radile na pola radnog vremena, bez obzira na trajanje, kao i rad sezonskih radnika, izračunava se kao dijelovi GRJ-a. Osoblje se sastoji od:</w:t>
      </w:r>
    </w:p>
    <w:p w14:paraId="4605CA46" w14:textId="77777777" w:rsidR="003D5D5F" w:rsidRPr="007349CF" w:rsidRDefault="003D5D5F" w:rsidP="003D5D5F">
      <w:pPr>
        <w:pStyle w:val="Bodytext31"/>
        <w:numPr>
          <w:ilvl w:val="1"/>
          <w:numId w:val="10"/>
        </w:numPr>
        <w:shd w:val="clear" w:color="auto" w:fill="auto"/>
        <w:tabs>
          <w:tab w:val="left" w:pos="265"/>
        </w:tabs>
        <w:spacing w:before="120" w:after="0" w:line="240" w:lineRule="auto"/>
        <w:ind w:left="20" w:firstLine="0"/>
        <w:rPr>
          <w:rFonts w:ascii="Arial" w:hAnsi="Arial" w:cs="Arial"/>
          <w:sz w:val="22"/>
          <w:szCs w:val="22"/>
          <w:lang w:val="hr-HR"/>
        </w:rPr>
      </w:pPr>
      <w:r w:rsidRPr="007349CF">
        <w:rPr>
          <w:rStyle w:val="Bodytext33"/>
          <w:rFonts w:ascii="Arial" w:hAnsi="Arial" w:cs="Arial"/>
          <w:sz w:val="22"/>
          <w:szCs w:val="22"/>
          <w:lang w:val="hr-HR"/>
        </w:rPr>
        <w:t>zaposlenika;</w:t>
      </w:r>
    </w:p>
    <w:p w14:paraId="672DC3D5" w14:textId="77777777" w:rsidR="003D5D5F" w:rsidRPr="007349CF" w:rsidRDefault="003D5D5F" w:rsidP="003D5D5F">
      <w:pPr>
        <w:pStyle w:val="Bodytext31"/>
        <w:numPr>
          <w:ilvl w:val="1"/>
          <w:numId w:val="10"/>
        </w:numPr>
        <w:shd w:val="clear" w:color="auto" w:fill="auto"/>
        <w:tabs>
          <w:tab w:val="left" w:pos="279"/>
        </w:tabs>
        <w:spacing w:before="120" w:after="0" w:line="240" w:lineRule="auto"/>
        <w:ind w:left="20" w:firstLine="0"/>
        <w:rPr>
          <w:rFonts w:ascii="Arial" w:hAnsi="Arial" w:cs="Arial"/>
          <w:sz w:val="22"/>
          <w:szCs w:val="22"/>
          <w:lang w:val="hr-HR"/>
        </w:rPr>
      </w:pPr>
      <w:r w:rsidRPr="007349CF">
        <w:rPr>
          <w:rStyle w:val="Bodytext33"/>
          <w:rFonts w:ascii="Arial" w:hAnsi="Arial" w:cs="Arial"/>
          <w:sz w:val="22"/>
          <w:szCs w:val="22"/>
          <w:lang w:val="hr-HR"/>
        </w:rPr>
        <w:t>osoba koje rade za podređenog poduzetnika i koje se prema nacionalnom zakonodavstvu smatraju zaposlenicima;</w:t>
      </w:r>
    </w:p>
    <w:p w14:paraId="61BEAB80" w14:textId="77777777" w:rsidR="003D5D5F" w:rsidRPr="007349CF" w:rsidRDefault="003D5D5F" w:rsidP="003D5D5F">
      <w:pPr>
        <w:pStyle w:val="Bodytext31"/>
        <w:numPr>
          <w:ilvl w:val="1"/>
          <w:numId w:val="10"/>
        </w:numPr>
        <w:shd w:val="clear" w:color="auto" w:fill="auto"/>
        <w:tabs>
          <w:tab w:val="left" w:pos="260"/>
        </w:tabs>
        <w:spacing w:before="120" w:after="0" w:line="240" w:lineRule="auto"/>
        <w:ind w:left="20" w:firstLine="0"/>
        <w:rPr>
          <w:rFonts w:ascii="Arial" w:hAnsi="Arial" w:cs="Arial"/>
          <w:sz w:val="22"/>
          <w:szCs w:val="22"/>
          <w:lang w:val="hr-HR"/>
        </w:rPr>
      </w:pPr>
      <w:r w:rsidRPr="007349CF">
        <w:rPr>
          <w:rStyle w:val="Bodytext33"/>
          <w:rFonts w:ascii="Arial" w:hAnsi="Arial" w:cs="Arial"/>
          <w:sz w:val="22"/>
          <w:szCs w:val="22"/>
          <w:lang w:val="hr-HR"/>
        </w:rPr>
        <w:t>vlasnici-upravitelji;</w:t>
      </w:r>
    </w:p>
    <w:p w14:paraId="6AC647A1" w14:textId="77777777" w:rsidR="003D5D5F" w:rsidRPr="007349CF" w:rsidRDefault="003D5D5F" w:rsidP="003D5D5F">
      <w:pPr>
        <w:pStyle w:val="Bodytext31"/>
        <w:numPr>
          <w:ilvl w:val="1"/>
          <w:numId w:val="10"/>
        </w:numPr>
        <w:shd w:val="clear" w:color="auto" w:fill="auto"/>
        <w:tabs>
          <w:tab w:val="left" w:pos="274"/>
        </w:tabs>
        <w:spacing w:before="120" w:after="0" w:line="240" w:lineRule="auto"/>
        <w:ind w:left="20" w:firstLine="0"/>
        <w:rPr>
          <w:rFonts w:ascii="Arial" w:hAnsi="Arial" w:cs="Arial"/>
          <w:sz w:val="22"/>
          <w:szCs w:val="22"/>
          <w:lang w:val="hr-HR"/>
        </w:rPr>
      </w:pPr>
      <w:r w:rsidRPr="007349CF">
        <w:rPr>
          <w:rStyle w:val="Bodytext33"/>
          <w:rFonts w:ascii="Arial" w:hAnsi="Arial" w:cs="Arial"/>
          <w:sz w:val="22"/>
          <w:szCs w:val="22"/>
          <w:lang w:val="hr-HR"/>
        </w:rPr>
        <w:t>partneri koji se bave redovnom djelatnošću u okviru poduzetnika i koji uživaju financijske povlastice od poduzetnika.</w:t>
      </w:r>
    </w:p>
    <w:p w14:paraId="53B6EE89"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Stažisti ili studenti na stručnoj obuci koji imaju ugovor o stažiranju ili stručnoj obuci ne smatraju se osobljem. Ne ubraja se duljina porodiljnog ili roditeljskog dopusta.</w:t>
      </w:r>
    </w:p>
    <w:p w14:paraId="2BE9F222"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p>
    <w:p w14:paraId="48FADF90" w14:textId="77777777" w:rsidR="003D5D5F" w:rsidRPr="007349CF" w:rsidRDefault="003D5D5F" w:rsidP="003D5D5F">
      <w:pPr>
        <w:pStyle w:val="Bodytext51"/>
        <w:shd w:val="clear" w:color="auto" w:fill="auto"/>
        <w:spacing w:before="120" w:after="0" w:line="240" w:lineRule="auto"/>
        <w:ind w:left="20"/>
        <w:jc w:val="center"/>
        <w:rPr>
          <w:rFonts w:ascii="Arial" w:hAnsi="Arial" w:cs="Arial"/>
          <w:sz w:val="22"/>
          <w:szCs w:val="22"/>
          <w:lang w:val="hr-HR"/>
        </w:rPr>
      </w:pPr>
      <w:r w:rsidRPr="007349CF">
        <w:rPr>
          <w:rStyle w:val="Bodytext53"/>
          <w:rFonts w:ascii="Arial" w:hAnsi="Arial" w:cs="Arial"/>
          <w:i/>
          <w:iCs/>
          <w:sz w:val="22"/>
          <w:szCs w:val="22"/>
          <w:lang w:val="hr-HR"/>
        </w:rPr>
        <w:t>Članak 6.</w:t>
      </w:r>
    </w:p>
    <w:p w14:paraId="5B5F6FA7" w14:textId="77777777" w:rsidR="003D5D5F" w:rsidRPr="007349CF" w:rsidRDefault="003D5D5F" w:rsidP="003D5D5F">
      <w:pPr>
        <w:pStyle w:val="Bodytext41"/>
        <w:shd w:val="clear" w:color="auto" w:fill="auto"/>
        <w:spacing w:before="120" w:after="0" w:line="240" w:lineRule="auto"/>
        <w:ind w:left="20"/>
        <w:jc w:val="center"/>
        <w:rPr>
          <w:rFonts w:ascii="Arial" w:hAnsi="Arial" w:cs="Arial"/>
          <w:sz w:val="22"/>
          <w:szCs w:val="22"/>
          <w:lang w:val="hr-HR"/>
        </w:rPr>
      </w:pPr>
      <w:r w:rsidRPr="007349CF">
        <w:rPr>
          <w:rStyle w:val="Bodytext43"/>
          <w:rFonts w:ascii="Arial" w:hAnsi="Arial" w:cs="Arial"/>
          <w:b/>
          <w:bCs/>
          <w:sz w:val="22"/>
          <w:szCs w:val="22"/>
          <w:lang w:val="hr-HR"/>
        </w:rPr>
        <w:t>Utvrđivanje podataka o poduzetniku</w:t>
      </w:r>
    </w:p>
    <w:p w14:paraId="774B396C" w14:textId="77777777" w:rsidR="003D5D5F" w:rsidRPr="007349CF" w:rsidRDefault="003D5D5F" w:rsidP="003D5D5F">
      <w:pPr>
        <w:pStyle w:val="Bodytext31"/>
        <w:shd w:val="clear" w:color="auto" w:fill="auto"/>
        <w:spacing w:before="120" w:after="0" w:line="240" w:lineRule="auto"/>
        <w:ind w:left="20" w:right="20" w:firstLine="0"/>
        <w:rPr>
          <w:rStyle w:val="Bodytext33"/>
          <w:rFonts w:ascii="Arial" w:hAnsi="Arial" w:cs="Arial"/>
          <w:sz w:val="22"/>
          <w:szCs w:val="22"/>
          <w:lang w:val="hr-HR"/>
        </w:rPr>
      </w:pPr>
      <w:r w:rsidRPr="007349CF">
        <w:rPr>
          <w:rStyle w:val="Bodytext33"/>
          <w:rFonts w:ascii="Arial" w:hAnsi="Arial" w:cs="Arial"/>
          <w:sz w:val="22"/>
          <w:szCs w:val="22"/>
          <w:lang w:val="hr-HR"/>
        </w:rPr>
        <w:t xml:space="preserve">1. U slučaju samostalnog poduzetnika, podaci se, uključujući broj osoblja, određuju isključivo na temelju </w:t>
      </w:r>
      <w:r w:rsidRPr="007349CF">
        <w:rPr>
          <w:rStyle w:val="Bodytext32"/>
          <w:rFonts w:ascii="Arial" w:hAnsi="Arial" w:cs="Arial"/>
          <w:sz w:val="22"/>
          <w:szCs w:val="22"/>
          <w:lang w:val="hr-HR"/>
        </w:rPr>
        <w:t xml:space="preserve">financijskih izvješća </w:t>
      </w:r>
      <w:r w:rsidRPr="007349CF">
        <w:rPr>
          <w:rStyle w:val="Bodytext33"/>
          <w:rFonts w:ascii="Arial" w:hAnsi="Arial" w:cs="Arial"/>
          <w:sz w:val="22"/>
          <w:szCs w:val="22"/>
          <w:lang w:val="hr-HR"/>
        </w:rPr>
        <w:t>tog poduzetnika.</w:t>
      </w:r>
    </w:p>
    <w:p w14:paraId="1BE6E9AF" w14:textId="77777777" w:rsidR="003D5D5F" w:rsidRPr="007349CF" w:rsidRDefault="003D5D5F" w:rsidP="003D5D5F">
      <w:pPr>
        <w:pStyle w:val="Bodytext31"/>
        <w:numPr>
          <w:ilvl w:val="2"/>
          <w:numId w:val="10"/>
        </w:numPr>
        <w:shd w:val="clear" w:color="auto" w:fill="auto"/>
        <w:tabs>
          <w:tab w:val="left" w:pos="399"/>
        </w:tabs>
        <w:spacing w:before="120" w:after="0" w:line="240" w:lineRule="auto"/>
        <w:ind w:left="20" w:right="20" w:firstLine="0"/>
        <w:rPr>
          <w:rFonts w:ascii="Arial" w:hAnsi="Arial" w:cs="Arial"/>
          <w:sz w:val="22"/>
          <w:szCs w:val="22"/>
          <w:lang w:val="hr-HR"/>
        </w:rPr>
      </w:pPr>
      <w:r w:rsidRPr="007349CF">
        <w:rPr>
          <w:rStyle w:val="Bodytext32"/>
          <w:rFonts w:ascii="Arial" w:hAnsi="Arial" w:cs="Arial"/>
          <w:sz w:val="22"/>
          <w:szCs w:val="22"/>
          <w:lang w:val="hr-HR"/>
        </w:rPr>
        <w:t>Podaci, uključujući broj osoblja, o poduzetniku koji ima partnerske poduzetnike ili povezane poduzetnike određuju se na temelju financijskih izvješća i ostalih podataka poduzetnika ili, ukoliko postoje, na temelju konsolidiranih financijskih izvješća poduzetnika ili konsolidiranih financijskih izvješća u kojima je spomenuti poduzetnik uključen kroz konsolidaciju.</w:t>
      </w:r>
    </w:p>
    <w:p w14:paraId="049FA563" w14:textId="77777777" w:rsidR="003D5D5F" w:rsidRPr="007349CF" w:rsidRDefault="003D5D5F" w:rsidP="003D5D5F">
      <w:pPr>
        <w:pStyle w:val="Bodytext31"/>
        <w:shd w:val="clear" w:color="auto" w:fill="auto"/>
        <w:spacing w:before="120" w:after="0" w:line="240" w:lineRule="auto"/>
        <w:ind w:left="23" w:right="23" w:firstLine="0"/>
        <w:rPr>
          <w:rStyle w:val="Bodytext32"/>
          <w:rFonts w:ascii="Arial" w:hAnsi="Arial" w:cs="Arial"/>
          <w:sz w:val="22"/>
          <w:szCs w:val="22"/>
          <w:lang w:val="hr-HR"/>
        </w:rPr>
      </w:pPr>
      <w:r w:rsidRPr="007349CF">
        <w:rPr>
          <w:rStyle w:val="Bodytext32"/>
          <w:rFonts w:ascii="Arial" w:hAnsi="Arial" w:cs="Arial"/>
          <w:sz w:val="22"/>
          <w:szCs w:val="22"/>
          <w:lang w:val="hr-HR"/>
        </w:rPr>
        <w:lastRenderedPageBreak/>
        <w:t>Podacima iz prvog podstavka dodaju se podaci o svim poduzetnicima koji su partneri poduzetnika i koji se nalaze na neposredno višoj ili nižoj razini proizvodnje. Pribrajanje je razmjerno postotku udjela u kapitalu ili glasačkim pravima (koji je veći). U slučaju društva s uzajamnim udjelima, koristi se veći postotak.</w:t>
      </w:r>
    </w:p>
    <w:p w14:paraId="7B986D06" w14:textId="77777777" w:rsidR="003D5D5F" w:rsidRPr="007349CF" w:rsidRDefault="003D5D5F" w:rsidP="003D5D5F">
      <w:pPr>
        <w:pStyle w:val="Bodytext31"/>
        <w:shd w:val="clear" w:color="auto" w:fill="auto"/>
        <w:spacing w:before="120" w:after="0" w:line="240" w:lineRule="auto"/>
        <w:ind w:left="23" w:right="23" w:firstLine="0"/>
        <w:rPr>
          <w:rStyle w:val="Bodytext32"/>
          <w:rFonts w:ascii="Arial" w:hAnsi="Arial" w:cs="Arial"/>
          <w:sz w:val="22"/>
          <w:szCs w:val="22"/>
          <w:lang w:val="hr-HR"/>
        </w:rPr>
      </w:pPr>
      <w:r w:rsidRPr="007349CF">
        <w:rPr>
          <w:rStyle w:val="Bodytext32"/>
          <w:rFonts w:ascii="Arial" w:hAnsi="Arial" w:cs="Arial"/>
          <w:sz w:val="22"/>
          <w:szCs w:val="22"/>
          <w:lang w:val="hr-HR"/>
        </w:rPr>
        <w:t>Podacima iz prvog i drugog podstavka dodaje se 100% podataka o svim poduzetnicima koji su izravno ili neizravno povezani s dotičnim poduzetnikom, ukoliko podaci već nisu uključeni kroz konsolidaciju financijskih izvješća.</w:t>
      </w:r>
    </w:p>
    <w:p w14:paraId="219B89E0" w14:textId="77777777" w:rsidR="003D5D5F" w:rsidRPr="007349CF" w:rsidRDefault="003D5D5F" w:rsidP="003D5D5F">
      <w:pPr>
        <w:pStyle w:val="Bodytext31"/>
        <w:numPr>
          <w:ilvl w:val="2"/>
          <w:numId w:val="10"/>
        </w:numPr>
        <w:shd w:val="clear" w:color="auto" w:fill="auto"/>
        <w:tabs>
          <w:tab w:val="left" w:pos="409"/>
        </w:tabs>
        <w:spacing w:before="120" w:after="0" w:line="240" w:lineRule="auto"/>
        <w:ind w:left="23" w:right="23" w:firstLine="0"/>
        <w:rPr>
          <w:rFonts w:ascii="Arial" w:hAnsi="Arial" w:cs="Arial"/>
          <w:sz w:val="22"/>
          <w:szCs w:val="22"/>
          <w:lang w:val="hr-HR"/>
        </w:rPr>
      </w:pPr>
      <w:r w:rsidRPr="007349CF">
        <w:rPr>
          <w:rStyle w:val="Bodytext32"/>
          <w:rFonts w:ascii="Arial" w:hAnsi="Arial" w:cs="Arial"/>
          <w:sz w:val="22"/>
          <w:szCs w:val="22"/>
          <w:lang w:val="hr-HR"/>
        </w:rPr>
        <w:t>Radi provedbe stavka 2., podaci o poduzetnicima koji su partnerski poduzetnici dotičnog poduzetnika, izvode se iz njihovih financijskih izvješća i ostalih podataka, po mogućnosti konsolidiranih. Njima se dodaje 100% podataka o poduzetnicima koji su povezani s ovim partnerskim poduzetnikom, osim ako njihovi podaci iz financijskih izvješća već nisu uključeni kroz konsolidaciju.</w:t>
      </w:r>
    </w:p>
    <w:p w14:paraId="6705123E" w14:textId="77777777" w:rsidR="003D5D5F" w:rsidRPr="007349CF" w:rsidRDefault="003D5D5F" w:rsidP="003D5D5F">
      <w:pPr>
        <w:pStyle w:val="Bodytext31"/>
        <w:shd w:val="clear" w:color="auto" w:fill="auto"/>
        <w:spacing w:before="120" w:after="0" w:line="240" w:lineRule="auto"/>
        <w:ind w:left="23" w:right="23" w:firstLine="0"/>
        <w:rPr>
          <w:rStyle w:val="Bodytext32"/>
          <w:rFonts w:ascii="Arial" w:hAnsi="Arial" w:cs="Arial"/>
          <w:sz w:val="22"/>
          <w:szCs w:val="22"/>
          <w:lang w:val="hr-HR"/>
        </w:rPr>
      </w:pPr>
      <w:r w:rsidRPr="007349CF">
        <w:rPr>
          <w:rStyle w:val="Bodytext32"/>
          <w:rFonts w:ascii="Arial" w:hAnsi="Arial" w:cs="Arial"/>
          <w:sz w:val="22"/>
          <w:szCs w:val="22"/>
          <w:lang w:val="hr-HR"/>
        </w:rPr>
        <w:t>Za provedbu istog stavka 2., podaci o poduzetnicima koja su povezani s dotičnim poduzetnikom izvode se iz njihovih financijskih izvješća i ostalih podataka, po mogućnosti konsolidiranih. Njima se pro rata dodaju podaci o svim mogućim partnerskim poduzetnicima ovog povezanog poduzetnika, smještenima na neposredno višoj ili nižoj razini proizvodnje, osim ako nisu već uključeni kroz konsolidaciju financijskih izvješća u postotku koji je, u najmanjoj mjeri, razmjeran s postotkom određenim u drugoj točki stavka 2.</w:t>
      </w:r>
    </w:p>
    <w:p w14:paraId="4899B362" w14:textId="77777777" w:rsidR="003D5D5F" w:rsidRPr="007349CF" w:rsidRDefault="003D5D5F" w:rsidP="003D5D5F">
      <w:pPr>
        <w:pStyle w:val="Bodytext31"/>
        <w:numPr>
          <w:ilvl w:val="2"/>
          <w:numId w:val="10"/>
        </w:numPr>
        <w:shd w:val="clear" w:color="auto" w:fill="auto"/>
        <w:tabs>
          <w:tab w:val="left" w:pos="404"/>
        </w:tabs>
        <w:spacing w:before="120" w:after="0" w:line="240" w:lineRule="auto"/>
        <w:ind w:left="23" w:right="23" w:firstLine="0"/>
        <w:rPr>
          <w:rStyle w:val="Bodytext32"/>
          <w:rFonts w:ascii="Arial" w:hAnsi="Arial" w:cs="Arial"/>
          <w:sz w:val="22"/>
          <w:szCs w:val="22"/>
          <w:lang w:val="hr-HR"/>
        </w:rPr>
      </w:pPr>
      <w:r w:rsidRPr="007349CF">
        <w:rPr>
          <w:rStyle w:val="Bodytext32"/>
          <w:rFonts w:ascii="Arial" w:hAnsi="Arial" w:cs="Arial"/>
          <w:sz w:val="22"/>
          <w:szCs w:val="22"/>
          <w:lang w:val="hr-HR"/>
        </w:rPr>
        <w:t>Ako u konsolidiranim financijskim izvješćima nema podataka o osoblju danog poduzetnika, broj osoblja se izračunava razmjernim pribrajanjem podataka od partnerskih poduzetnika i pribrajanjem podataka od poduzetnika koja su povezani s dotičnim poduzetnikom.</w:t>
      </w:r>
    </w:p>
    <w:p w14:paraId="4B838ECB" w14:textId="77777777" w:rsidR="003D5D5F" w:rsidRPr="007349CF" w:rsidRDefault="003D5D5F" w:rsidP="003D5D5F">
      <w:pPr>
        <w:spacing w:before="120" w:after="0"/>
        <w:jc w:val="center"/>
        <w:rPr>
          <w:rFonts w:ascii="Arial" w:hAnsi="Arial" w:cs="Arial"/>
          <w:i/>
          <w:iCs/>
          <w:color w:val="000000"/>
          <w:sz w:val="22"/>
          <w:szCs w:val="22"/>
          <w:lang w:val="hr-HR"/>
        </w:rPr>
      </w:pPr>
    </w:p>
    <w:p w14:paraId="1109D392" w14:textId="77777777" w:rsidR="00F953EC" w:rsidRPr="007349CF" w:rsidRDefault="00F953EC" w:rsidP="00F953EC">
      <w:pPr>
        <w:pStyle w:val="Default"/>
        <w:jc w:val="both"/>
        <w:rPr>
          <w:rFonts w:ascii="Arial" w:hAnsi="Arial" w:cs="Arial"/>
          <w:sz w:val="22"/>
          <w:szCs w:val="22"/>
          <w:lang w:val="hr-HR"/>
        </w:rPr>
      </w:pPr>
    </w:p>
    <w:p w14:paraId="41064901" w14:textId="77777777" w:rsidR="00F953EC" w:rsidRPr="007349CF" w:rsidRDefault="00F953EC" w:rsidP="00F953EC">
      <w:pPr>
        <w:pStyle w:val="Default"/>
        <w:jc w:val="both"/>
        <w:rPr>
          <w:rFonts w:ascii="Arial" w:hAnsi="Arial" w:cs="Arial"/>
          <w:sz w:val="22"/>
          <w:szCs w:val="22"/>
          <w:lang w:val="hr-HR"/>
        </w:rPr>
      </w:pPr>
    </w:p>
    <w:p w14:paraId="292B7159" w14:textId="77777777" w:rsidR="00F953EC" w:rsidRPr="007349CF" w:rsidRDefault="00F953EC">
      <w:pPr>
        <w:spacing w:after="160" w:line="259" w:lineRule="auto"/>
        <w:jc w:val="left"/>
        <w:rPr>
          <w:rFonts w:ascii="Arial" w:eastAsiaTheme="minorHAnsi" w:hAnsi="Arial" w:cs="Arial"/>
          <w:b/>
          <w:color w:val="000000"/>
          <w:sz w:val="22"/>
          <w:szCs w:val="22"/>
          <w:lang w:val="hr-HR"/>
        </w:rPr>
      </w:pPr>
      <w:r w:rsidRPr="007349CF">
        <w:rPr>
          <w:rFonts w:ascii="Arial" w:hAnsi="Arial" w:cs="Arial"/>
          <w:b/>
          <w:sz w:val="22"/>
          <w:szCs w:val="22"/>
          <w:lang w:val="hr-HR"/>
        </w:rPr>
        <w:br w:type="page"/>
      </w:r>
    </w:p>
    <w:p w14:paraId="02A82FD6" w14:textId="77777777" w:rsidR="00F953EC" w:rsidRPr="007349CF" w:rsidRDefault="009447F6" w:rsidP="00F953EC">
      <w:pPr>
        <w:pStyle w:val="Default"/>
        <w:jc w:val="center"/>
        <w:rPr>
          <w:rFonts w:ascii="Arial" w:hAnsi="Arial" w:cs="Arial"/>
          <w:b/>
          <w:sz w:val="22"/>
          <w:szCs w:val="22"/>
          <w:lang w:val="hr-HR"/>
        </w:rPr>
      </w:pPr>
      <w:r w:rsidRPr="007349CF">
        <w:rPr>
          <w:rFonts w:ascii="Arial" w:hAnsi="Arial" w:cs="Arial"/>
          <w:b/>
          <w:sz w:val="22"/>
          <w:szCs w:val="22"/>
          <w:lang w:val="hr-HR"/>
        </w:rPr>
        <w:lastRenderedPageBreak/>
        <w:t xml:space="preserve">Prilog </w:t>
      </w:r>
      <w:r w:rsidR="00F953EC" w:rsidRPr="007349CF">
        <w:rPr>
          <w:rFonts w:ascii="Arial" w:hAnsi="Arial" w:cs="Arial"/>
          <w:b/>
          <w:sz w:val="22"/>
          <w:szCs w:val="22"/>
          <w:lang w:val="hr-HR"/>
        </w:rPr>
        <w:t>III</w:t>
      </w:r>
    </w:p>
    <w:p w14:paraId="093FE9AE" w14:textId="77777777" w:rsidR="00F953EC" w:rsidRPr="007349CF" w:rsidRDefault="00F953EC" w:rsidP="00F953EC">
      <w:pPr>
        <w:pStyle w:val="Default"/>
        <w:jc w:val="center"/>
        <w:rPr>
          <w:rFonts w:ascii="Arial" w:hAnsi="Arial" w:cs="Arial"/>
          <w:b/>
          <w:sz w:val="22"/>
          <w:szCs w:val="22"/>
          <w:lang w:val="hr-HR"/>
        </w:rPr>
      </w:pPr>
    </w:p>
    <w:p w14:paraId="73F46FE2" w14:textId="77777777" w:rsidR="00F953EC" w:rsidRPr="007349CF" w:rsidRDefault="00473C45" w:rsidP="00F953EC">
      <w:pPr>
        <w:pStyle w:val="Default"/>
        <w:jc w:val="center"/>
        <w:rPr>
          <w:rFonts w:ascii="Arial" w:hAnsi="Arial" w:cs="Arial"/>
          <w:b/>
          <w:sz w:val="22"/>
          <w:szCs w:val="22"/>
          <w:lang w:val="hr-HR"/>
        </w:rPr>
      </w:pPr>
      <w:r w:rsidRPr="007349CF">
        <w:rPr>
          <w:rFonts w:ascii="Arial" w:hAnsi="Arial" w:cs="Arial"/>
          <w:b/>
          <w:sz w:val="22"/>
          <w:szCs w:val="22"/>
          <w:lang w:val="hr-HR"/>
        </w:rPr>
        <w:t>OBRAZAC ZA ISKAZ INTERESA</w:t>
      </w:r>
    </w:p>
    <w:p w14:paraId="0375205D" w14:textId="77777777" w:rsidR="00F953EC" w:rsidRPr="007349CF" w:rsidRDefault="00F953EC" w:rsidP="00F953EC">
      <w:pPr>
        <w:pStyle w:val="Default"/>
        <w:jc w:val="center"/>
        <w:rPr>
          <w:rFonts w:ascii="Arial" w:hAnsi="Arial" w:cs="Arial"/>
          <w:b/>
          <w:sz w:val="22"/>
          <w:szCs w:val="22"/>
          <w:lang w:val="hr-HR"/>
        </w:rPr>
      </w:pPr>
    </w:p>
    <w:p w14:paraId="3F67504C" w14:textId="77777777" w:rsidR="00F953EC" w:rsidRPr="007349CF" w:rsidRDefault="00F953EC" w:rsidP="00F953EC">
      <w:pPr>
        <w:pStyle w:val="Default"/>
        <w:jc w:val="center"/>
        <w:rPr>
          <w:rFonts w:ascii="Arial" w:hAnsi="Arial" w:cs="Arial"/>
          <w:b/>
          <w:color w:val="FF0000"/>
          <w:sz w:val="22"/>
          <w:szCs w:val="22"/>
          <w:lang w:val="hr-HR"/>
        </w:rPr>
      </w:pPr>
      <w:r w:rsidRPr="007349CF">
        <w:rPr>
          <w:rFonts w:ascii="Arial" w:hAnsi="Arial" w:cs="Arial"/>
          <w:b/>
          <w:color w:val="FF0000"/>
          <w:sz w:val="22"/>
          <w:szCs w:val="22"/>
          <w:lang w:val="hr-HR"/>
        </w:rPr>
        <w:t>(</w:t>
      </w:r>
      <w:r w:rsidR="00473C45" w:rsidRPr="007349CF">
        <w:rPr>
          <w:rFonts w:ascii="Arial" w:hAnsi="Arial" w:cs="Arial"/>
          <w:b/>
          <w:color w:val="FF0000"/>
          <w:sz w:val="22"/>
          <w:szCs w:val="22"/>
          <w:lang w:val="hr-HR"/>
        </w:rPr>
        <w:t>ispunjavaju</w:t>
      </w:r>
      <w:r w:rsidRPr="007349CF">
        <w:rPr>
          <w:rFonts w:ascii="Arial" w:hAnsi="Arial" w:cs="Arial"/>
          <w:b/>
          <w:color w:val="FF0000"/>
          <w:sz w:val="22"/>
          <w:szCs w:val="22"/>
          <w:lang w:val="hr-HR"/>
        </w:rPr>
        <w:t xml:space="preserve"> </w:t>
      </w:r>
      <w:r w:rsidR="009447F6" w:rsidRPr="007349CF">
        <w:rPr>
          <w:rFonts w:ascii="Arial" w:hAnsi="Arial" w:cs="Arial"/>
          <w:b/>
          <w:color w:val="FF0000"/>
          <w:sz w:val="22"/>
          <w:szCs w:val="22"/>
          <w:lang w:val="hr-HR"/>
        </w:rPr>
        <w:t>Prijavitelji</w:t>
      </w:r>
      <w:r w:rsidRPr="007349CF">
        <w:rPr>
          <w:rFonts w:ascii="Arial" w:hAnsi="Arial" w:cs="Arial"/>
          <w:b/>
          <w:color w:val="FF0000"/>
          <w:sz w:val="22"/>
          <w:szCs w:val="22"/>
          <w:lang w:val="hr-HR"/>
        </w:rPr>
        <w:t>)</w:t>
      </w:r>
    </w:p>
    <w:p w14:paraId="79805C81" w14:textId="77777777" w:rsidR="00F953EC" w:rsidRPr="007349CF" w:rsidRDefault="00F953EC" w:rsidP="00F953EC">
      <w:pPr>
        <w:pStyle w:val="Default"/>
        <w:jc w:val="center"/>
        <w:rPr>
          <w:rFonts w:ascii="Arial" w:hAnsi="Arial" w:cs="Arial"/>
          <w:b/>
          <w:sz w:val="22"/>
          <w:szCs w:val="22"/>
          <w:lang w:val="hr-HR"/>
        </w:rPr>
      </w:pPr>
    </w:p>
    <w:p w14:paraId="4C69CC74" w14:textId="77777777" w:rsidR="006335D1" w:rsidRPr="007349CF" w:rsidRDefault="006335D1" w:rsidP="00F953EC">
      <w:pPr>
        <w:pStyle w:val="Default"/>
        <w:jc w:val="center"/>
        <w:rPr>
          <w:rFonts w:ascii="Arial" w:hAnsi="Arial" w:cs="Arial"/>
          <w:b/>
          <w:sz w:val="22"/>
          <w:szCs w:val="22"/>
          <w:lang w:val="hr-HR"/>
        </w:rPr>
      </w:pPr>
    </w:p>
    <w:p w14:paraId="11D56745" w14:textId="77777777" w:rsidR="00F953EC" w:rsidRPr="007349CF" w:rsidRDefault="00F953EC" w:rsidP="00F953EC">
      <w:pPr>
        <w:pStyle w:val="Default"/>
        <w:jc w:val="center"/>
        <w:rPr>
          <w:rFonts w:ascii="Arial" w:hAnsi="Arial" w:cs="Arial"/>
          <w:b/>
          <w:sz w:val="22"/>
          <w:szCs w:val="22"/>
          <w:lang w:val="hr-HR"/>
        </w:rPr>
      </w:pPr>
    </w:p>
    <w:p w14:paraId="42E76F79" w14:textId="77777777" w:rsidR="00E34A98" w:rsidRPr="007349CF" w:rsidRDefault="00E34A98" w:rsidP="00E34A98">
      <w:pPr>
        <w:pStyle w:val="Default"/>
        <w:rPr>
          <w:rFonts w:ascii="Arial" w:hAnsi="Arial" w:cs="Arial"/>
          <w:b/>
          <w:sz w:val="22"/>
          <w:szCs w:val="22"/>
          <w:lang w:val="hr-HR"/>
        </w:rPr>
      </w:pPr>
    </w:p>
    <w:p w14:paraId="43AC51A5" w14:textId="77777777" w:rsidR="006335D1" w:rsidRPr="007349CF" w:rsidRDefault="009447F6" w:rsidP="00E34A98">
      <w:pPr>
        <w:pStyle w:val="Default"/>
        <w:rPr>
          <w:rFonts w:ascii="Arial" w:hAnsi="Arial" w:cs="Arial"/>
          <w:b/>
          <w:sz w:val="22"/>
          <w:szCs w:val="22"/>
          <w:lang w:val="hr-HR"/>
        </w:rPr>
      </w:pPr>
      <w:r w:rsidRPr="007349CF">
        <w:rPr>
          <w:rFonts w:ascii="Arial" w:hAnsi="Arial" w:cs="Arial"/>
          <w:b/>
          <w:sz w:val="22"/>
          <w:szCs w:val="22"/>
          <w:lang w:val="hr-HR"/>
        </w:rPr>
        <w:t xml:space="preserve">Prilog </w:t>
      </w:r>
      <w:r w:rsidR="00E34A98" w:rsidRPr="007349CF">
        <w:rPr>
          <w:rFonts w:ascii="Arial" w:hAnsi="Arial" w:cs="Arial"/>
          <w:b/>
          <w:sz w:val="22"/>
          <w:szCs w:val="22"/>
          <w:lang w:val="hr-HR"/>
        </w:rPr>
        <w:t xml:space="preserve">III, </w:t>
      </w:r>
      <w:r w:rsidRPr="007349CF">
        <w:rPr>
          <w:rFonts w:ascii="Arial" w:hAnsi="Arial" w:cs="Arial"/>
          <w:b/>
          <w:sz w:val="22"/>
          <w:szCs w:val="22"/>
          <w:lang w:val="hr-HR"/>
        </w:rPr>
        <w:t>Dodatak</w:t>
      </w:r>
      <w:r w:rsidR="00E34A98" w:rsidRPr="007349CF">
        <w:rPr>
          <w:rFonts w:ascii="Arial" w:hAnsi="Arial" w:cs="Arial"/>
          <w:b/>
          <w:sz w:val="22"/>
          <w:szCs w:val="22"/>
          <w:lang w:val="hr-HR"/>
        </w:rPr>
        <w:t xml:space="preserve"> 1</w:t>
      </w:r>
    </w:p>
    <w:p w14:paraId="44C4F4DE" w14:textId="77777777" w:rsidR="00E34A98" w:rsidRPr="007349CF" w:rsidRDefault="00E34A98" w:rsidP="00E34A98">
      <w:pPr>
        <w:pStyle w:val="Default"/>
        <w:rPr>
          <w:rFonts w:ascii="Arial" w:hAnsi="Arial" w:cs="Arial"/>
          <w:sz w:val="22"/>
          <w:szCs w:val="22"/>
          <w:lang w:val="hr-HR"/>
        </w:rPr>
      </w:pPr>
    </w:p>
    <w:p w14:paraId="68A6EAF7" w14:textId="77777777" w:rsidR="007E6862" w:rsidRPr="007349CF" w:rsidRDefault="007E6862" w:rsidP="007E6862">
      <w:pPr>
        <w:pStyle w:val="Default"/>
        <w:rPr>
          <w:rFonts w:ascii="Arial" w:hAnsi="Arial" w:cs="Arial"/>
          <w:b/>
          <w:sz w:val="22"/>
          <w:szCs w:val="22"/>
          <w:lang w:val="hr-HR"/>
        </w:rPr>
      </w:pPr>
      <w:r w:rsidRPr="007349CF">
        <w:rPr>
          <w:rFonts w:ascii="Arial" w:hAnsi="Arial" w:cs="Arial"/>
          <w:sz w:val="22"/>
          <w:szCs w:val="22"/>
          <w:lang w:val="hr-HR"/>
        </w:rPr>
        <w:t>Izjava o nepostojanju situacije za isključivanje,</w:t>
      </w:r>
    </w:p>
    <w:p w14:paraId="45920D4A" w14:textId="77777777" w:rsidR="006335D1" w:rsidRPr="007349CF" w:rsidRDefault="006335D1" w:rsidP="006335D1">
      <w:pPr>
        <w:pStyle w:val="Default"/>
        <w:rPr>
          <w:rFonts w:ascii="Arial" w:hAnsi="Arial" w:cs="Arial"/>
          <w:b/>
          <w:sz w:val="22"/>
          <w:szCs w:val="22"/>
          <w:lang w:val="hr-HR"/>
        </w:rPr>
      </w:pPr>
    </w:p>
    <w:p w14:paraId="0F14AF45" w14:textId="77777777" w:rsidR="006335D1" w:rsidRPr="007349CF" w:rsidRDefault="009447F6" w:rsidP="006335D1">
      <w:pPr>
        <w:pStyle w:val="Default"/>
        <w:rPr>
          <w:rFonts w:ascii="Arial" w:hAnsi="Arial" w:cs="Arial"/>
          <w:b/>
          <w:sz w:val="22"/>
          <w:szCs w:val="22"/>
          <w:lang w:val="hr-HR"/>
        </w:rPr>
      </w:pPr>
      <w:r w:rsidRPr="007349CF">
        <w:rPr>
          <w:rFonts w:ascii="Arial" w:hAnsi="Arial" w:cs="Arial"/>
          <w:b/>
          <w:sz w:val="22"/>
          <w:szCs w:val="22"/>
          <w:lang w:val="hr-HR"/>
        </w:rPr>
        <w:t xml:space="preserve">Prilog </w:t>
      </w:r>
      <w:r w:rsidR="006335D1" w:rsidRPr="007349CF">
        <w:rPr>
          <w:rFonts w:ascii="Arial" w:hAnsi="Arial" w:cs="Arial"/>
          <w:b/>
          <w:sz w:val="22"/>
          <w:szCs w:val="22"/>
          <w:lang w:val="hr-HR"/>
        </w:rPr>
        <w:t xml:space="preserve">III, </w:t>
      </w:r>
      <w:r w:rsidRPr="007349CF">
        <w:rPr>
          <w:rFonts w:ascii="Arial" w:hAnsi="Arial" w:cs="Arial"/>
          <w:b/>
          <w:sz w:val="22"/>
          <w:szCs w:val="22"/>
          <w:lang w:val="hr-HR"/>
        </w:rPr>
        <w:t>Dodatak</w:t>
      </w:r>
      <w:r w:rsidR="006335D1" w:rsidRPr="007349CF">
        <w:rPr>
          <w:rFonts w:ascii="Arial" w:hAnsi="Arial" w:cs="Arial"/>
          <w:b/>
          <w:sz w:val="22"/>
          <w:szCs w:val="22"/>
          <w:lang w:val="hr-HR"/>
        </w:rPr>
        <w:t xml:space="preserve"> </w:t>
      </w:r>
      <w:r w:rsidR="00E34A98" w:rsidRPr="007349CF">
        <w:rPr>
          <w:rFonts w:ascii="Arial" w:hAnsi="Arial" w:cs="Arial"/>
          <w:b/>
          <w:sz w:val="22"/>
          <w:szCs w:val="22"/>
          <w:lang w:val="hr-HR"/>
        </w:rPr>
        <w:t>2</w:t>
      </w:r>
    </w:p>
    <w:p w14:paraId="2794A650" w14:textId="77777777" w:rsidR="006335D1" w:rsidRPr="007349CF" w:rsidRDefault="006335D1" w:rsidP="006335D1">
      <w:pPr>
        <w:pStyle w:val="Default"/>
        <w:rPr>
          <w:rFonts w:ascii="Arial" w:hAnsi="Arial" w:cs="Arial"/>
          <w:sz w:val="22"/>
          <w:szCs w:val="22"/>
          <w:lang w:val="hr-HR"/>
        </w:rPr>
      </w:pPr>
    </w:p>
    <w:p w14:paraId="637B208E" w14:textId="77777777" w:rsidR="007E6862" w:rsidRPr="007349CF" w:rsidRDefault="007E6862" w:rsidP="007E6862">
      <w:pPr>
        <w:pStyle w:val="Default"/>
        <w:rPr>
          <w:rFonts w:ascii="Arial" w:hAnsi="Arial" w:cs="Arial"/>
          <w:sz w:val="22"/>
          <w:szCs w:val="22"/>
          <w:lang w:val="hr-HR"/>
        </w:rPr>
      </w:pPr>
      <w:r w:rsidRPr="007349CF">
        <w:rPr>
          <w:rFonts w:ascii="Arial" w:hAnsi="Arial" w:cs="Arial"/>
          <w:sz w:val="22"/>
          <w:szCs w:val="22"/>
          <w:lang w:val="hr-HR"/>
        </w:rPr>
        <w:t>Izjava o ovlaštenju za provođenje relevantne provedbene zadaće na razini EU i nacionalnog zakona i politika</w:t>
      </w:r>
    </w:p>
    <w:p w14:paraId="49B74338" w14:textId="77777777" w:rsidR="007B1287" w:rsidRPr="007349CF" w:rsidRDefault="007B1287" w:rsidP="006335D1">
      <w:pPr>
        <w:pStyle w:val="Default"/>
        <w:rPr>
          <w:rFonts w:ascii="Arial" w:hAnsi="Arial" w:cs="Arial"/>
          <w:sz w:val="22"/>
          <w:szCs w:val="22"/>
          <w:lang w:val="hr-HR"/>
        </w:rPr>
      </w:pPr>
    </w:p>
    <w:p w14:paraId="169A8F0B" w14:textId="77777777" w:rsidR="00E34A98" w:rsidRPr="007349CF" w:rsidRDefault="00E34A98" w:rsidP="00E34A98">
      <w:pPr>
        <w:pStyle w:val="Default"/>
        <w:rPr>
          <w:rFonts w:ascii="Arial" w:hAnsi="Arial" w:cs="Arial"/>
          <w:b/>
          <w:sz w:val="22"/>
          <w:szCs w:val="22"/>
          <w:lang w:val="hr-HR"/>
        </w:rPr>
      </w:pPr>
    </w:p>
    <w:p w14:paraId="426E485A" w14:textId="77777777" w:rsidR="00E34A98" w:rsidRPr="007349CF" w:rsidRDefault="009447F6" w:rsidP="00E34A98">
      <w:pPr>
        <w:pStyle w:val="Default"/>
        <w:rPr>
          <w:rFonts w:ascii="Arial" w:hAnsi="Arial" w:cs="Arial"/>
          <w:b/>
          <w:sz w:val="22"/>
          <w:szCs w:val="22"/>
          <w:lang w:val="hr-HR"/>
        </w:rPr>
      </w:pPr>
      <w:r w:rsidRPr="007349CF">
        <w:rPr>
          <w:rFonts w:ascii="Arial" w:hAnsi="Arial" w:cs="Arial"/>
          <w:b/>
          <w:sz w:val="22"/>
          <w:szCs w:val="22"/>
          <w:lang w:val="hr-HR"/>
        </w:rPr>
        <w:t xml:space="preserve">Prilog </w:t>
      </w:r>
      <w:r w:rsidR="00E34A98" w:rsidRPr="007349CF">
        <w:rPr>
          <w:rFonts w:ascii="Arial" w:hAnsi="Arial" w:cs="Arial"/>
          <w:b/>
          <w:sz w:val="22"/>
          <w:szCs w:val="22"/>
          <w:lang w:val="hr-HR"/>
        </w:rPr>
        <w:t xml:space="preserve">III, </w:t>
      </w:r>
      <w:r w:rsidRPr="007349CF">
        <w:rPr>
          <w:rFonts w:ascii="Arial" w:hAnsi="Arial" w:cs="Arial"/>
          <w:b/>
          <w:sz w:val="22"/>
          <w:szCs w:val="22"/>
          <w:lang w:val="hr-HR"/>
        </w:rPr>
        <w:t>Dodatak</w:t>
      </w:r>
      <w:r w:rsidR="00E34A98" w:rsidRPr="007349CF">
        <w:rPr>
          <w:rFonts w:ascii="Arial" w:hAnsi="Arial" w:cs="Arial"/>
          <w:b/>
          <w:sz w:val="22"/>
          <w:szCs w:val="22"/>
          <w:lang w:val="hr-HR"/>
        </w:rPr>
        <w:t xml:space="preserve"> 3</w:t>
      </w:r>
    </w:p>
    <w:p w14:paraId="1BDA76BF" w14:textId="77777777" w:rsidR="00E34A98" w:rsidRPr="007349CF" w:rsidRDefault="00E34A98" w:rsidP="00E34A98">
      <w:pPr>
        <w:pStyle w:val="Default"/>
        <w:rPr>
          <w:rFonts w:ascii="Arial" w:hAnsi="Arial" w:cs="Arial"/>
          <w:sz w:val="22"/>
          <w:szCs w:val="22"/>
          <w:lang w:val="hr-HR"/>
        </w:rPr>
      </w:pPr>
    </w:p>
    <w:p w14:paraId="6E866CC9" w14:textId="2C586023" w:rsidR="007E6862" w:rsidRPr="007349CF" w:rsidRDefault="007E6862" w:rsidP="007E6862">
      <w:pPr>
        <w:pStyle w:val="Default"/>
        <w:rPr>
          <w:rFonts w:ascii="Arial" w:hAnsi="Arial" w:cs="Arial"/>
          <w:sz w:val="22"/>
          <w:szCs w:val="22"/>
          <w:lang w:val="hr-HR"/>
        </w:rPr>
      </w:pPr>
      <w:r w:rsidRPr="007349CF">
        <w:rPr>
          <w:rFonts w:ascii="Arial" w:hAnsi="Arial" w:cs="Arial"/>
          <w:sz w:val="22"/>
          <w:szCs w:val="22"/>
          <w:lang w:val="hr-HR"/>
        </w:rPr>
        <w:t>Izjava o pristanku na reviziju od strane državnog ureda za reviziju, Europske komisije, Europskog revizorskog suda te HAMAG-BICRO-a.</w:t>
      </w:r>
    </w:p>
    <w:p w14:paraId="4C6906D0" w14:textId="77777777" w:rsidR="00E34A98" w:rsidRPr="007349CF" w:rsidRDefault="00E34A98" w:rsidP="00E34A98">
      <w:pPr>
        <w:pStyle w:val="Default"/>
        <w:rPr>
          <w:rFonts w:ascii="Arial" w:hAnsi="Arial" w:cs="Arial"/>
          <w:b/>
          <w:sz w:val="22"/>
          <w:szCs w:val="22"/>
          <w:lang w:val="hr-HR"/>
        </w:rPr>
      </w:pPr>
    </w:p>
    <w:p w14:paraId="7437272F" w14:textId="77777777" w:rsidR="00E34A98" w:rsidRPr="007349CF" w:rsidRDefault="00E34A98" w:rsidP="00E34A98">
      <w:pPr>
        <w:pStyle w:val="Default"/>
        <w:rPr>
          <w:rFonts w:ascii="Arial" w:hAnsi="Arial" w:cs="Arial"/>
          <w:b/>
          <w:sz w:val="22"/>
          <w:szCs w:val="22"/>
          <w:lang w:val="hr-HR"/>
        </w:rPr>
      </w:pPr>
    </w:p>
    <w:p w14:paraId="3608578D" w14:textId="77777777" w:rsidR="007E6862" w:rsidRPr="007349CF" w:rsidRDefault="007E6862" w:rsidP="007B1287">
      <w:pPr>
        <w:pStyle w:val="Default"/>
        <w:jc w:val="center"/>
        <w:rPr>
          <w:rFonts w:ascii="Arial" w:hAnsi="Arial" w:cs="Arial"/>
          <w:b/>
          <w:sz w:val="22"/>
          <w:szCs w:val="22"/>
          <w:lang w:val="hr-HR"/>
        </w:rPr>
      </w:pPr>
    </w:p>
    <w:p w14:paraId="791391DD" w14:textId="77777777" w:rsidR="007E6862" w:rsidRPr="007349CF" w:rsidRDefault="007E6862" w:rsidP="007B1287">
      <w:pPr>
        <w:pStyle w:val="Default"/>
        <w:jc w:val="center"/>
        <w:rPr>
          <w:rFonts w:ascii="Arial" w:hAnsi="Arial" w:cs="Arial"/>
          <w:b/>
          <w:sz w:val="22"/>
          <w:szCs w:val="22"/>
          <w:lang w:val="hr-HR"/>
        </w:rPr>
      </w:pPr>
    </w:p>
    <w:p w14:paraId="7ECFBCB9" w14:textId="77777777" w:rsidR="007E6862" w:rsidRPr="007349CF" w:rsidRDefault="007E6862" w:rsidP="007B1287">
      <w:pPr>
        <w:pStyle w:val="Default"/>
        <w:jc w:val="center"/>
        <w:rPr>
          <w:rFonts w:ascii="Arial" w:hAnsi="Arial" w:cs="Arial"/>
          <w:b/>
          <w:sz w:val="22"/>
          <w:szCs w:val="22"/>
          <w:lang w:val="hr-HR"/>
        </w:rPr>
      </w:pPr>
    </w:p>
    <w:p w14:paraId="028805B7" w14:textId="77777777" w:rsidR="007E6862" w:rsidRPr="007349CF" w:rsidRDefault="007E6862" w:rsidP="007B1287">
      <w:pPr>
        <w:pStyle w:val="Default"/>
        <w:jc w:val="center"/>
        <w:rPr>
          <w:rFonts w:ascii="Arial" w:hAnsi="Arial" w:cs="Arial"/>
          <w:b/>
          <w:sz w:val="22"/>
          <w:szCs w:val="22"/>
          <w:lang w:val="hr-HR"/>
        </w:rPr>
      </w:pPr>
    </w:p>
    <w:p w14:paraId="374FDE60" w14:textId="77777777" w:rsidR="007E6862" w:rsidRPr="007349CF" w:rsidRDefault="007E6862" w:rsidP="007B1287">
      <w:pPr>
        <w:pStyle w:val="Default"/>
        <w:jc w:val="center"/>
        <w:rPr>
          <w:rFonts w:ascii="Arial" w:hAnsi="Arial" w:cs="Arial"/>
          <w:b/>
          <w:sz w:val="22"/>
          <w:szCs w:val="22"/>
          <w:lang w:val="hr-HR"/>
        </w:rPr>
      </w:pPr>
    </w:p>
    <w:p w14:paraId="0E12D8C1" w14:textId="77777777" w:rsidR="007E6862" w:rsidRPr="007349CF" w:rsidRDefault="007E6862" w:rsidP="007B1287">
      <w:pPr>
        <w:pStyle w:val="Default"/>
        <w:jc w:val="center"/>
        <w:rPr>
          <w:rFonts w:ascii="Arial" w:hAnsi="Arial" w:cs="Arial"/>
          <w:b/>
          <w:sz w:val="22"/>
          <w:szCs w:val="22"/>
          <w:lang w:val="hr-HR"/>
        </w:rPr>
      </w:pPr>
    </w:p>
    <w:p w14:paraId="0412205C" w14:textId="77777777" w:rsidR="007E6862" w:rsidRPr="007349CF" w:rsidRDefault="007E6862" w:rsidP="007B1287">
      <w:pPr>
        <w:pStyle w:val="Default"/>
        <w:jc w:val="center"/>
        <w:rPr>
          <w:rFonts w:ascii="Arial" w:hAnsi="Arial" w:cs="Arial"/>
          <w:b/>
          <w:sz w:val="22"/>
          <w:szCs w:val="22"/>
          <w:lang w:val="hr-HR"/>
        </w:rPr>
      </w:pPr>
    </w:p>
    <w:p w14:paraId="46701E65" w14:textId="77777777" w:rsidR="007E6862" w:rsidRPr="007349CF" w:rsidRDefault="007E6862" w:rsidP="007B1287">
      <w:pPr>
        <w:pStyle w:val="Default"/>
        <w:jc w:val="center"/>
        <w:rPr>
          <w:rFonts w:ascii="Arial" w:hAnsi="Arial" w:cs="Arial"/>
          <w:b/>
          <w:sz w:val="22"/>
          <w:szCs w:val="22"/>
          <w:lang w:val="hr-HR"/>
        </w:rPr>
      </w:pPr>
    </w:p>
    <w:p w14:paraId="564AF2A4" w14:textId="77777777" w:rsidR="007E6862" w:rsidRPr="007349CF" w:rsidRDefault="007E6862" w:rsidP="007B1287">
      <w:pPr>
        <w:pStyle w:val="Default"/>
        <w:jc w:val="center"/>
        <w:rPr>
          <w:rFonts w:ascii="Arial" w:hAnsi="Arial" w:cs="Arial"/>
          <w:b/>
          <w:sz w:val="22"/>
          <w:szCs w:val="22"/>
          <w:lang w:val="hr-HR"/>
        </w:rPr>
      </w:pPr>
    </w:p>
    <w:p w14:paraId="144B5147" w14:textId="77777777" w:rsidR="007E6862" w:rsidRPr="007349CF" w:rsidRDefault="007E6862" w:rsidP="007B1287">
      <w:pPr>
        <w:pStyle w:val="Default"/>
        <w:jc w:val="center"/>
        <w:rPr>
          <w:rFonts w:ascii="Arial" w:hAnsi="Arial" w:cs="Arial"/>
          <w:b/>
          <w:sz w:val="22"/>
          <w:szCs w:val="22"/>
          <w:lang w:val="hr-HR"/>
        </w:rPr>
      </w:pPr>
    </w:p>
    <w:p w14:paraId="2879C026" w14:textId="77777777" w:rsidR="007E6862" w:rsidRPr="007349CF" w:rsidRDefault="007E6862" w:rsidP="007B1287">
      <w:pPr>
        <w:pStyle w:val="Default"/>
        <w:jc w:val="center"/>
        <w:rPr>
          <w:rFonts w:ascii="Arial" w:hAnsi="Arial" w:cs="Arial"/>
          <w:b/>
          <w:sz w:val="22"/>
          <w:szCs w:val="22"/>
          <w:lang w:val="hr-HR"/>
        </w:rPr>
      </w:pPr>
    </w:p>
    <w:p w14:paraId="61CD43D9" w14:textId="77777777" w:rsidR="007E6862" w:rsidRPr="007349CF" w:rsidRDefault="007E6862" w:rsidP="007B1287">
      <w:pPr>
        <w:pStyle w:val="Default"/>
        <w:jc w:val="center"/>
        <w:rPr>
          <w:rFonts w:ascii="Arial" w:hAnsi="Arial" w:cs="Arial"/>
          <w:b/>
          <w:sz w:val="22"/>
          <w:szCs w:val="22"/>
          <w:lang w:val="hr-HR"/>
        </w:rPr>
      </w:pPr>
    </w:p>
    <w:p w14:paraId="1AB0D811" w14:textId="77777777" w:rsidR="007E6862" w:rsidRPr="007349CF" w:rsidRDefault="007E6862" w:rsidP="007B1287">
      <w:pPr>
        <w:pStyle w:val="Default"/>
        <w:jc w:val="center"/>
        <w:rPr>
          <w:rFonts w:ascii="Arial" w:hAnsi="Arial" w:cs="Arial"/>
          <w:b/>
          <w:sz w:val="22"/>
          <w:szCs w:val="22"/>
          <w:lang w:val="hr-HR"/>
        </w:rPr>
      </w:pPr>
    </w:p>
    <w:p w14:paraId="0D5DBDCD" w14:textId="77777777" w:rsidR="007E6862" w:rsidRPr="007349CF" w:rsidRDefault="007E6862" w:rsidP="007B1287">
      <w:pPr>
        <w:pStyle w:val="Default"/>
        <w:jc w:val="center"/>
        <w:rPr>
          <w:rFonts w:ascii="Arial" w:hAnsi="Arial" w:cs="Arial"/>
          <w:b/>
          <w:sz w:val="22"/>
          <w:szCs w:val="22"/>
          <w:lang w:val="hr-HR"/>
        </w:rPr>
      </w:pPr>
    </w:p>
    <w:p w14:paraId="604708BC" w14:textId="77777777" w:rsidR="007E6862" w:rsidRPr="007349CF" w:rsidRDefault="007E6862" w:rsidP="007B1287">
      <w:pPr>
        <w:pStyle w:val="Default"/>
        <w:jc w:val="center"/>
        <w:rPr>
          <w:rFonts w:ascii="Arial" w:hAnsi="Arial" w:cs="Arial"/>
          <w:b/>
          <w:sz w:val="22"/>
          <w:szCs w:val="22"/>
          <w:lang w:val="hr-HR"/>
        </w:rPr>
      </w:pPr>
    </w:p>
    <w:p w14:paraId="2026F508" w14:textId="77777777" w:rsidR="007E6862" w:rsidRPr="007349CF" w:rsidRDefault="007E6862" w:rsidP="007B1287">
      <w:pPr>
        <w:pStyle w:val="Default"/>
        <w:jc w:val="center"/>
        <w:rPr>
          <w:rFonts w:ascii="Arial" w:hAnsi="Arial" w:cs="Arial"/>
          <w:b/>
          <w:sz w:val="22"/>
          <w:szCs w:val="22"/>
          <w:lang w:val="hr-HR"/>
        </w:rPr>
      </w:pPr>
    </w:p>
    <w:p w14:paraId="1192FA7E" w14:textId="77777777" w:rsidR="007E6862" w:rsidRPr="007349CF" w:rsidRDefault="007E6862" w:rsidP="007B1287">
      <w:pPr>
        <w:pStyle w:val="Default"/>
        <w:jc w:val="center"/>
        <w:rPr>
          <w:rFonts w:ascii="Arial" w:hAnsi="Arial" w:cs="Arial"/>
          <w:b/>
          <w:sz w:val="22"/>
          <w:szCs w:val="22"/>
          <w:lang w:val="hr-HR"/>
        </w:rPr>
      </w:pPr>
    </w:p>
    <w:p w14:paraId="4EA06B4B" w14:textId="77777777" w:rsidR="007E6862" w:rsidRPr="007349CF" w:rsidRDefault="007E6862" w:rsidP="007B1287">
      <w:pPr>
        <w:pStyle w:val="Default"/>
        <w:jc w:val="center"/>
        <w:rPr>
          <w:rFonts w:ascii="Arial" w:hAnsi="Arial" w:cs="Arial"/>
          <w:b/>
          <w:sz w:val="22"/>
          <w:szCs w:val="22"/>
          <w:lang w:val="hr-HR"/>
        </w:rPr>
      </w:pPr>
    </w:p>
    <w:p w14:paraId="7B410CEF" w14:textId="77777777" w:rsidR="007E6862" w:rsidRPr="007349CF" w:rsidRDefault="007E6862" w:rsidP="007B1287">
      <w:pPr>
        <w:pStyle w:val="Default"/>
        <w:jc w:val="center"/>
        <w:rPr>
          <w:rFonts w:ascii="Arial" w:hAnsi="Arial" w:cs="Arial"/>
          <w:b/>
          <w:sz w:val="22"/>
          <w:szCs w:val="22"/>
          <w:lang w:val="hr-HR"/>
        </w:rPr>
      </w:pPr>
    </w:p>
    <w:p w14:paraId="099A3439" w14:textId="77777777" w:rsidR="007E6862" w:rsidRPr="007349CF" w:rsidRDefault="007E6862" w:rsidP="007B1287">
      <w:pPr>
        <w:pStyle w:val="Default"/>
        <w:jc w:val="center"/>
        <w:rPr>
          <w:rFonts w:ascii="Arial" w:hAnsi="Arial" w:cs="Arial"/>
          <w:b/>
          <w:sz w:val="22"/>
          <w:szCs w:val="22"/>
          <w:lang w:val="hr-HR"/>
        </w:rPr>
      </w:pPr>
    </w:p>
    <w:p w14:paraId="7BD22ADF" w14:textId="77777777" w:rsidR="007E6862" w:rsidRPr="007349CF" w:rsidRDefault="007E6862" w:rsidP="007B1287">
      <w:pPr>
        <w:pStyle w:val="Default"/>
        <w:jc w:val="center"/>
        <w:rPr>
          <w:rFonts w:ascii="Arial" w:hAnsi="Arial" w:cs="Arial"/>
          <w:b/>
          <w:sz w:val="22"/>
          <w:szCs w:val="22"/>
          <w:lang w:val="hr-HR"/>
        </w:rPr>
      </w:pPr>
    </w:p>
    <w:p w14:paraId="48C3A7BE" w14:textId="77777777" w:rsidR="007E6862" w:rsidRPr="007349CF" w:rsidRDefault="007E6862" w:rsidP="007B1287">
      <w:pPr>
        <w:pStyle w:val="Default"/>
        <w:jc w:val="center"/>
        <w:rPr>
          <w:rFonts w:ascii="Arial" w:hAnsi="Arial" w:cs="Arial"/>
          <w:b/>
          <w:sz w:val="22"/>
          <w:szCs w:val="22"/>
          <w:lang w:val="hr-HR"/>
        </w:rPr>
      </w:pPr>
    </w:p>
    <w:p w14:paraId="4FE11012" w14:textId="77777777" w:rsidR="007E6862" w:rsidRPr="007349CF" w:rsidRDefault="007E6862" w:rsidP="009562F3">
      <w:pPr>
        <w:pStyle w:val="Default"/>
        <w:rPr>
          <w:rFonts w:ascii="Arial" w:hAnsi="Arial" w:cs="Arial"/>
          <w:b/>
          <w:sz w:val="22"/>
          <w:szCs w:val="22"/>
          <w:lang w:val="hr-HR"/>
        </w:rPr>
      </w:pPr>
    </w:p>
    <w:p w14:paraId="7C2287A3" w14:textId="77777777" w:rsidR="007B1287" w:rsidRPr="007349CF" w:rsidRDefault="009447F6" w:rsidP="007B1287">
      <w:pPr>
        <w:pStyle w:val="Default"/>
        <w:jc w:val="center"/>
        <w:rPr>
          <w:rFonts w:ascii="Arial" w:hAnsi="Arial" w:cs="Arial"/>
          <w:b/>
          <w:sz w:val="22"/>
          <w:szCs w:val="22"/>
          <w:lang w:val="hr-HR"/>
        </w:rPr>
      </w:pPr>
      <w:r w:rsidRPr="007349CF">
        <w:rPr>
          <w:rFonts w:ascii="Arial" w:hAnsi="Arial" w:cs="Arial"/>
          <w:b/>
          <w:sz w:val="22"/>
          <w:szCs w:val="22"/>
          <w:lang w:val="hr-HR"/>
        </w:rPr>
        <w:t xml:space="preserve">Prilog </w:t>
      </w:r>
      <w:r w:rsidR="007B1287" w:rsidRPr="007349CF">
        <w:rPr>
          <w:rFonts w:ascii="Arial" w:hAnsi="Arial" w:cs="Arial"/>
          <w:b/>
          <w:sz w:val="22"/>
          <w:szCs w:val="22"/>
          <w:lang w:val="hr-HR"/>
        </w:rPr>
        <w:t>IV</w:t>
      </w:r>
    </w:p>
    <w:p w14:paraId="53BA836F" w14:textId="77777777" w:rsidR="007B1287" w:rsidRPr="007349CF" w:rsidRDefault="007B1287" w:rsidP="007B1287">
      <w:pPr>
        <w:pStyle w:val="Default"/>
        <w:jc w:val="center"/>
        <w:rPr>
          <w:rFonts w:ascii="Arial" w:hAnsi="Arial" w:cs="Arial"/>
          <w:b/>
          <w:sz w:val="22"/>
          <w:szCs w:val="22"/>
          <w:lang w:val="hr-HR"/>
        </w:rPr>
      </w:pPr>
    </w:p>
    <w:p w14:paraId="3551169C" w14:textId="77777777" w:rsidR="007B1287" w:rsidRPr="007349CF" w:rsidRDefault="00473C45" w:rsidP="007B1287">
      <w:pPr>
        <w:pStyle w:val="Default"/>
        <w:jc w:val="center"/>
        <w:rPr>
          <w:rFonts w:ascii="Arial" w:hAnsi="Arial" w:cs="Arial"/>
          <w:b/>
          <w:sz w:val="22"/>
          <w:szCs w:val="22"/>
          <w:lang w:val="hr-HR"/>
        </w:rPr>
      </w:pPr>
      <w:r w:rsidRPr="007349CF">
        <w:rPr>
          <w:rFonts w:ascii="Arial" w:hAnsi="Arial" w:cs="Arial"/>
          <w:b/>
          <w:sz w:val="22"/>
          <w:szCs w:val="22"/>
          <w:lang w:val="hr-HR"/>
        </w:rPr>
        <w:t>SUSTAV BODOVANJA</w:t>
      </w:r>
    </w:p>
    <w:tbl>
      <w:tblPr>
        <w:tblStyle w:val="Reetkatablice"/>
        <w:tblW w:w="0" w:type="auto"/>
        <w:tblInd w:w="34" w:type="dxa"/>
        <w:tblLook w:val="04A0" w:firstRow="1" w:lastRow="0" w:firstColumn="1" w:lastColumn="0" w:noHBand="0" w:noVBand="1"/>
      </w:tblPr>
      <w:tblGrid>
        <w:gridCol w:w="2000"/>
        <w:gridCol w:w="6378"/>
        <w:gridCol w:w="938"/>
      </w:tblGrid>
      <w:tr w:rsidR="00152097" w:rsidRPr="007349CF" w14:paraId="198C0EC3" w14:textId="77777777" w:rsidTr="006D2E4B">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C8890F7" w14:textId="2ED51087" w:rsidR="00152097" w:rsidRPr="007349CF" w:rsidRDefault="00473C45" w:rsidP="006D2E4B">
            <w:pPr>
              <w:pStyle w:val="Odlomakpopisa"/>
              <w:spacing w:after="0"/>
              <w:ind w:left="0"/>
              <w:rPr>
                <w:rFonts w:ascii="Arial" w:hAnsi="Arial" w:cs="Arial"/>
                <w:b/>
                <w:sz w:val="22"/>
                <w:szCs w:val="22"/>
                <w:lang w:val="hr-HR"/>
              </w:rPr>
            </w:pPr>
            <w:r w:rsidRPr="007349CF">
              <w:rPr>
                <w:rFonts w:ascii="Arial" w:hAnsi="Arial" w:cs="Arial"/>
                <w:b/>
                <w:sz w:val="22"/>
                <w:szCs w:val="22"/>
                <w:lang w:val="hr-HR"/>
              </w:rPr>
              <w:t>Kriterij</w:t>
            </w:r>
            <w:r w:rsidR="00152097" w:rsidRPr="007349CF">
              <w:rPr>
                <w:rFonts w:ascii="Arial" w:hAnsi="Arial" w:cs="Arial"/>
                <w:b/>
                <w:sz w:val="22"/>
                <w:szCs w:val="22"/>
                <w:lang w:val="hr-HR"/>
              </w:rPr>
              <w:t xml:space="preserve"> 1: </w:t>
            </w:r>
            <w:r w:rsidR="007E635C" w:rsidRPr="007349CF">
              <w:rPr>
                <w:rFonts w:ascii="Arial" w:hAnsi="Arial" w:cs="Arial"/>
                <w:b/>
                <w:sz w:val="22"/>
                <w:szCs w:val="22"/>
                <w:lang w:val="hr-HR"/>
              </w:rPr>
              <w:t>Opć</w:t>
            </w:r>
            <w:r w:rsidR="007E6862" w:rsidRPr="007349CF">
              <w:rPr>
                <w:rFonts w:ascii="Arial" w:hAnsi="Arial" w:cs="Arial"/>
                <w:b/>
                <w:sz w:val="22"/>
                <w:szCs w:val="22"/>
                <w:lang w:val="hr-HR"/>
              </w:rPr>
              <w:t>i provedbeni</w:t>
            </w:r>
            <w:r w:rsidR="007E635C" w:rsidRPr="007349CF">
              <w:rPr>
                <w:rFonts w:ascii="Arial" w:hAnsi="Arial" w:cs="Arial"/>
                <w:b/>
                <w:sz w:val="22"/>
                <w:szCs w:val="22"/>
                <w:lang w:val="hr-HR"/>
              </w:rPr>
              <w:t xml:space="preserve"> </w:t>
            </w:r>
            <w:r w:rsidR="007E6862" w:rsidRPr="007349CF">
              <w:rPr>
                <w:rFonts w:ascii="Arial" w:hAnsi="Arial" w:cs="Arial"/>
                <w:b/>
                <w:sz w:val="22"/>
                <w:szCs w:val="22"/>
                <w:lang w:val="hr-HR"/>
              </w:rPr>
              <w:t>kapaciteti</w:t>
            </w:r>
            <w:r w:rsidR="007E635C" w:rsidRPr="007349CF">
              <w:rPr>
                <w:rFonts w:ascii="Arial" w:hAnsi="Arial" w:cs="Arial"/>
                <w:b/>
                <w:sz w:val="22"/>
                <w:szCs w:val="22"/>
                <w:lang w:val="hr-HR"/>
              </w:rPr>
              <w:t xml:space="preserve"> i geografski doseg</w:t>
            </w:r>
          </w:p>
          <w:p w14:paraId="0E2E1944" w14:textId="77777777" w:rsidR="00152097" w:rsidRPr="007349CF" w:rsidRDefault="00152097" w:rsidP="006D2E4B">
            <w:pPr>
              <w:pStyle w:val="Odlomakpopisa"/>
              <w:spacing w:after="0"/>
              <w:ind w:left="0"/>
              <w:rPr>
                <w:rFonts w:ascii="Arial" w:hAnsi="Arial" w:cs="Arial"/>
                <w:b/>
                <w:color w:val="000000" w:themeColor="text1"/>
                <w:sz w:val="22"/>
                <w:szCs w:val="22"/>
                <w:lang w:val="hr-HR"/>
              </w:rPr>
            </w:pPr>
          </w:p>
        </w:tc>
      </w:tr>
      <w:tr w:rsidR="000D5999" w:rsidRPr="007349CF" w14:paraId="530E4051" w14:textId="77777777" w:rsidTr="00321D04">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6CE105E" w14:textId="302CC4AB" w:rsidR="00152097" w:rsidRPr="007349CF" w:rsidRDefault="00F400EE" w:rsidP="00152097">
            <w:pPr>
              <w:spacing w:before="0" w:after="0"/>
              <w:ind w:left="0"/>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Kriteriji</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088569F" w14:textId="3BDDBF62" w:rsidR="00F400EE" w:rsidRPr="007349CF" w:rsidRDefault="00F400EE" w:rsidP="00152097">
            <w:pPr>
              <w:spacing w:before="0" w:after="0"/>
              <w:ind w:left="0"/>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 xml:space="preserve">Pod-kriteriji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EA9CC44" w14:textId="4081A8B7" w:rsidR="00152097" w:rsidRPr="007349CF" w:rsidRDefault="00473C45" w:rsidP="00152097">
            <w:pPr>
              <w:spacing w:before="0" w:after="0"/>
              <w:ind w:left="0"/>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Maks. bodovi</w:t>
            </w:r>
          </w:p>
        </w:tc>
      </w:tr>
      <w:tr w:rsidR="00F400EE" w:rsidRPr="007349CF" w14:paraId="734876DF" w14:textId="77777777" w:rsidTr="00321D04">
        <w:tc>
          <w:tcPr>
            <w:tcW w:w="2000" w:type="dxa"/>
            <w:vMerge w:val="restart"/>
            <w:tcBorders>
              <w:top w:val="single" w:sz="4" w:space="0" w:color="000000" w:themeColor="text1"/>
              <w:left w:val="single" w:sz="4" w:space="0" w:color="000000" w:themeColor="text1"/>
              <w:right w:val="single" w:sz="4" w:space="0" w:color="000000" w:themeColor="text1"/>
            </w:tcBorders>
            <w:shd w:val="clear" w:color="auto" w:fill="auto"/>
            <w:hideMark/>
          </w:tcPr>
          <w:p w14:paraId="64C647C1" w14:textId="3EEDC8DB" w:rsidR="00F400EE" w:rsidRPr="007349CF" w:rsidRDefault="00F400EE" w:rsidP="00F400EE">
            <w:pPr>
              <w:pStyle w:val="Odlomakpopisa"/>
              <w:numPr>
                <w:ilvl w:val="1"/>
                <w:numId w:val="16"/>
              </w:numPr>
              <w:jc w:val="left"/>
              <w:rPr>
                <w:rFonts w:ascii="Arial" w:hAnsi="Arial" w:cs="Arial"/>
                <w:color w:val="000000" w:themeColor="text1"/>
                <w:sz w:val="22"/>
                <w:szCs w:val="22"/>
                <w:lang w:val="hr-HR"/>
              </w:rPr>
            </w:pPr>
            <w:r w:rsidRPr="007349CF">
              <w:rPr>
                <w:rFonts w:ascii="Arial" w:hAnsi="Arial" w:cs="Arial"/>
                <w:color w:val="000000" w:themeColor="text1"/>
                <w:sz w:val="22"/>
                <w:szCs w:val="22"/>
                <w:lang w:val="hr-HR"/>
              </w:rPr>
              <w:t>Kapaciteti za identificiranje krajnjih primatelja</w:t>
            </w:r>
          </w:p>
          <w:p w14:paraId="25BB9945" w14:textId="77777777" w:rsidR="00F400EE" w:rsidRPr="007349CF" w:rsidRDefault="00F400EE" w:rsidP="00F400EE">
            <w:pPr>
              <w:rPr>
                <w:rFonts w:ascii="Arial" w:hAnsi="Arial" w:cs="Arial"/>
                <w:i/>
                <w:color w:val="000000" w:themeColor="text1"/>
                <w:sz w:val="22"/>
                <w:szCs w:val="22"/>
                <w:lang w:val="hr-HR"/>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3C3F6" w14:textId="5EAAAC91" w:rsidR="00F400EE" w:rsidRPr="007349CF" w:rsidRDefault="00F400EE" w:rsidP="00F400EE">
            <w:pPr>
              <w:jc w:val="left"/>
              <w:rPr>
                <w:rFonts w:ascii="Arial" w:hAnsi="Arial" w:cs="Arial"/>
                <w:color w:val="000000" w:themeColor="text1"/>
                <w:sz w:val="22"/>
                <w:szCs w:val="22"/>
                <w:lang w:val="hr-HR"/>
              </w:rPr>
            </w:pPr>
            <w:r w:rsidRPr="007349CF">
              <w:rPr>
                <w:rFonts w:ascii="Arial" w:hAnsi="Arial" w:cs="Arial"/>
                <w:sz w:val="22"/>
                <w:szCs w:val="22"/>
                <w:lang w:val="hr-HR"/>
              </w:rPr>
              <w:t xml:space="preserve">Godišnji broj jamstvenih zahtjeva koje je banka podnijela HAMAG-BICRO-u.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16A51" w14:textId="08FAB55C"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4</w:t>
            </w:r>
          </w:p>
        </w:tc>
      </w:tr>
      <w:tr w:rsidR="00F400EE" w:rsidRPr="007349CF" w14:paraId="4A672BAB" w14:textId="77777777" w:rsidTr="00321D04">
        <w:tc>
          <w:tcPr>
            <w:tcW w:w="2000" w:type="dxa"/>
            <w:vMerge/>
            <w:tcBorders>
              <w:left w:val="single" w:sz="4" w:space="0" w:color="000000" w:themeColor="text1"/>
              <w:right w:val="single" w:sz="4" w:space="0" w:color="000000" w:themeColor="text1"/>
            </w:tcBorders>
            <w:shd w:val="clear" w:color="auto" w:fill="auto"/>
            <w:vAlign w:val="center"/>
            <w:hideMark/>
          </w:tcPr>
          <w:p w14:paraId="3E0533DC" w14:textId="77777777" w:rsidR="00F400EE" w:rsidRPr="007349CF" w:rsidRDefault="00F400EE" w:rsidP="00F400EE">
            <w:pPr>
              <w:rPr>
                <w:rFonts w:ascii="Arial" w:hAnsi="Arial" w:cs="Arial"/>
                <w:i/>
                <w:color w:val="000000" w:themeColor="text1"/>
                <w:sz w:val="22"/>
                <w:szCs w:val="22"/>
                <w:lang w:val="hr-HR" w:eastAsia="zh-CN"/>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359A8" w14:textId="402FE682" w:rsidR="00F400EE" w:rsidRPr="007349CF" w:rsidRDefault="007E6862" w:rsidP="007E6862">
            <w:pPr>
              <w:jc w:val="left"/>
              <w:rPr>
                <w:rFonts w:ascii="Arial" w:hAnsi="Arial" w:cs="Arial"/>
                <w:color w:val="000000" w:themeColor="text1"/>
                <w:sz w:val="22"/>
                <w:szCs w:val="22"/>
                <w:lang w:val="hr-HR"/>
              </w:rPr>
            </w:pPr>
            <w:r w:rsidRPr="007349CF">
              <w:rPr>
                <w:rFonts w:ascii="Arial" w:hAnsi="Arial" w:cs="Arial"/>
                <w:sz w:val="22"/>
                <w:szCs w:val="22"/>
                <w:lang w:val="hr-HR"/>
              </w:rPr>
              <w:t>% u</w:t>
            </w:r>
            <w:r w:rsidR="004075C1" w:rsidRPr="007349CF">
              <w:rPr>
                <w:rFonts w:ascii="Arial" w:hAnsi="Arial" w:cs="Arial"/>
                <w:sz w:val="22"/>
                <w:szCs w:val="22"/>
                <w:lang w:val="hr-HR"/>
              </w:rPr>
              <w:t>djel kredita odobrenih</w:t>
            </w:r>
            <w:r w:rsidR="00F400EE" w:rsidRPr="007349CF">
              <w:rPr>
                <w:rFonts w:ascii="Arial" w:hAnsi="Arial" w:cs="Arial"/>
                <w:sz w:val="22"/>
                <w:szCs w:val="22"/>
                <w:lang w:val="hr-HR"/>
              </w:rPr>
              <w:t xml:space="preserve"> nefinancijskim trgovačkim društvima</w:t>
            </w:r>
            <w:r w:rsidR="004C7668" w:rsidRPr="007349CF">
              <w:rPr>
                <w:rFonts w:ascii="Arial" w:hAnsi="Arial" w:cs="Arial"/>
                <w:sz w:val="22"/>
                <w:szCs w:val="22"/>
                <w:lang w:val="hr-HR"/>
              </w:rPr>
              <w:t xml:space="preserve"> (F11)</w:t>
            </w:r>
            <w:r w:rsidR="00F400EE" w:rsidRPr="007349CF">
              <w:rPr>
                <w:rFonts w:ascii="Arial" w:hAnsi="Arial" w:cs="Arial"/>
                <w:sz w:val="22"/>
                <w:szCs w:val="22"/>
                <w:lang w:val="hr-HR"/>
              </w:rPr>
              <w:t xml:space="preserve"> u ukupnim kreditima.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80F5" w14:textId="150C3EA6"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4</w:t>
            </w:r>
          </w:p>
        </w:tc>
      </w:tr>
      <w:tr w:rsidR="00F400EE" w:rsidRPr="007349CF" w14:paraId="62300503" w14:textId="77777777" w:rsidTr="00321D04">
        <w:tc>
          <w:tcPr>
            <w:tcW w:w="2000" w:type="dxa"/>
            <w:vMerge/>
            <w:tcBorders>
              <w:left w:val="single" w:sz="4" w:space="0" w:color="000000" w:themeColor="text1"/>
              <w:right w:val="single" w:sz="4" w:space="0" w:color="000000" w:themeColor="text1"/>
            </w:tcBorders>
            <w:shd w:val="clear" w:color="auto" w:fill="auto"/>
            <w:vAlign w:val="center"/>
            <w:hideMark/>
          </w:tcPr>
          <w:p w14:paraId="730311D7" w14:textId="77777777" w:rsidR="00F400EE" w:rsidRPr="007349CF" w:rsidRDefault="00F400EE" w:rsidP="00F400EE">
            <w:pPr>
              <w:rPr>
                <w:rFonts w:ascii="Arial" w:hAnsi="Arial" w:cs="Arial"/>
                <w:i/>
                <w:color w:val="000000" w:themeColor="text1"/>
                <w:sz w:val="22"/>
                <w:szCs w:val="22"/>
                <w:lang w:val="hr-HR" w:eastAsia="zh-CN"/>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05353" w14:textId="08AAEDEF" w:rsidR="00F400EE" w:rsidRPr="007349CF" w:rsidRDefault="007E6862" w:rsidP="00F400EE">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w:t>
            </w:r>
            <w:r w:rsidR="00F400EE" w:rsidRPr="007349CF">
              <w:rPr>
                <w:rFonts w:ascii="Arial" w:hAnsi="Arial" w:cs="Arial"/>
                <w:sz w:val="22"/>
                <w:szCs w:val="22"/>
                <w:lang w:val="hr-HR"/>
              </w:rPr>
              <w:t>kredita odobren</w:t>
            </w:r>
            <w:r w:rsidR="004075C1" w:rsidRPr="007349CF">
              <w:rPr>
                <w:rFonts w:ascii="Arial" w:hAnsi="Arial" w:cs="Arial"/>
                <w:sz w:val="22"/>
                <w:szCs w:val="22"/>
                <w:lang w:val="hr-HR"/>
              </w:rPr>
              <w:t>ih</w:t>
            </w:r>
            <w:r w:rsidR="00F400EE" w:rsidRPr="007349CF">
              <w:rPr>
                <w:rFonts w:ascii="Arial" w:hAnsi="Arial" w:cs="Arial"/>
                <w:sz w:val="22"/>
                <w:szCs w:val="22"/>
                <w:lang w:val="hr-HR"/>
              </w:rPr>
              <w:t xml:space="preserve"> nefinancijskim trgovačkim društvima (F11) u statusu mikro, malih i srednjih poduzetnika</w:t>
            </w:r>
            <w:r w:rsidR="00F400EE" w:rsidRPr="007349CF">
              <w:rPr>
                <w:rStyle w:val="Referencafusnote"/>
                <w:rFonts w:ascii="Arial" w:hAnsi="Arial" w:cs="Arial"/>
                <w:sz w:val="22"/>
                <w:szCs w:val="22"/>
                <w:lang w:val="hr-HR"/>
              </w:rPr>
              <w:footnoteReference w:id="2"/>
            </w:r>
            <w:r w:rsidR="00F400EE" w:rsidRPr="007349CF">
              <w:rPr>
                <w:rFonts w:ascii="Arial" w:hAnsi="Arial" w:cs="Arial"/>
                <w:sz w:val="22"/>
                <w:szCs w:val="22"/>
                <w:lang w:val="hr-HR"/>
              </w:rPr>
              <w:t xml:space="preserve">  u ukupnim kreditima odobrenim nefinancijskim trgovačkim društvima (F11).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9787B" w14:textId="11CC30F0"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4</w:t>
            </w:r>
          </w:p>
        </w:tc>
      </w:tr>
      <w:tr w:rsidR="00F400EE" w:rsidRPr="007349CF" w14:paraId="11BBE2B8" w14:textId="77777777" w:rsidTr="00321D04">
        <w:tc>
          <w:tcPr>
            <w:tcW w:w="200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F9A0982" w14:textId="77777777" w:rsidR="00F400EE" w:rsidRPr="007349CF" w:rsidRDefault="00F400EE" w:rsidP="00F400EE">
            <w:pPr>
              <w:rPr>
                <w:rFonts w:ascii="Arial" w:hAnsi="Arial" w:cs="Arial"/>
                <w:i/>
                <w:color w:val="000000" w:themeColor="text1"/>
                <w:sz w:val="22"/>
                <w:szCs w:val="22"/>
                <w:lang w:val="hr-HR" w:eastAsia="zh-CN"/>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B8E14" w14:textId="2564E4CE" w:rsidR="00F400EE" w:rsidRPr="007349CF" w:rsidRDefault="007E6862" w:rsidP="00F400EE">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w:t>
            </w:r>
            <w:r w:rsidR="00F400EE" w:rsidRPr="007349CF">
              <w:rPr>
                <w:rFonts w:ascii="Arial" w:hAnsi="Arial" w:cs="Arial"/>
                <w:sz w:val="22"/>
                <w:szCs w:val="22"/>
                <w:lang w:val="hr-HR"/>
              </w:rPr>
              <w:t>kredita odobren</w:t>
            </w:r>
            <w:r w:rsidR="004075C1" w:rsidRPr="007349CF">
              <w:rPr>
                <w:rFonts w:ascii="Arial" w:hAnsi="Arial" w:cs="Arial"/>
                <w:sz w:val="22"/>
                <w:szCs w:val="22"/>
                <w:lang w:val="hr-HR"/>
              </w:rPr>
              <w:t>ih</w:t>
            </w:r>
            <w:r w:rsidR="00F400EE" w:rsidRPr="007349CF">
              <w:rPr>
                <w:rFonts w:ascii="Arial" w:hAnsi="Arial" w:cs="Arial"/>
                <w:sz w:val="22"/>
                <w:szCs w:val="22"/>
                <w:lang w:val="hr-HR"/>
              </w:rPr>
              <w:t xml:space="preserve"> nefin</w:t>
            </w:r>
            <w:r w:rsidR="004075C1" w:rsidRPr="007349CF">
              <w:rPr>
                <w:rFonts w:ascii="Arial" w:hAnsi="Arial" w:cs="Arial"/>
                <w:sz w:val="22"/>
                <w:szCs w:val="22"/>
                <w:lang w:val="hr-HR"/>
              </w:rPr>
              <w:t>ancijskim trgovačkim društvima</w:t>
            </w:r>
            <w:r w:rsidR="00096FEF" w:rsidRPr="007349CF">
              <w:rPr>
                <w:rFonts w:ascii="Arial" w:hAnsi="Arial" w:cs="Arial"/>
                <w:sz w:val="22"/>
                <w:szCs w:val="22"/>
                <w:lang w:val="hr-HR"/>
              </w:rPr>
              <w:t xml:space="preserve"> (F11)</w:t>
            </w:r>
            <w:r w:rsidR="004075C1" w:rsidRPr="007349CF">
              <w:rPr>
                <w:rFonts w:ascii="Arial" w:hAnsi="Arial" w:cs="Arial"/>
                <w:sz w:val="22"/>
                <w:szCs w:val="22"/>
                <w:lang w:val="hr-HR"/>
              </w:rPr>
              <w:t xml:space="preserve"> p</w:t>
            </w:r>
            <w:r w:rsidR="00F400EE" w:rsidRPr="007349CF">
              <w:rPr>
                <w:rFonts w:ascii="Arial" w:hAnsi="Arial" w:cs="Arial"/>
                <w:sz w:val="22"/>
                <w:szCs w:val="22"/>
                <w:lang w:val="hr-HR"/>
              </w:rPr>
              <w:t xml:space="preserve">očetnicima (do 5 g. fin. </w:t>
            </w:r>
            <w:proofErr w:type="spellStart"/>
            <w:r w:rsidR="00F400EE" w:rsidRPr="007349CF">
              <w:rPr>
                <w:rFonts w:ascii="Arial" w:hAnsi="Arial" w:cs="Arial"/>
                <w:sz w:val="22"/>
                <w:szCs w:val="22"/>
                <w:lang w:val="hr-HR"/>
              </w:rPr>
              <w:t>izvj</w:t>
            </w:r>
            <w:proofErr w:type="spellEnd"/>
            <w:r w:rsidR="00F400EE" w:rsidRPr="007349CF">
              <w:rPr>
                <w:rFonts w:ascii="Arial" w:hAnsi="Arial" w:cs="Arial"/>
                <w:sz w:val="22"/>
                <w:szCs w:val="22"/>
                <w:lang w:val="hr-HR"/>
              </w:rPr>
              <w:t>. u Registru Fine) u ukupnim kreditima odobrenim nefinancijskim trgovačkim društvima (F11).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6648B" w14:textId="617E175D"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4</w:t>
            </w:r>
          </w:p>
        </w:tc>
      </w:tr>
      <w:tr w:rsidR="00F400EE" w:rsidRPr="007349CF" w14:paraId="55702F3C" w14:textId="77777777" w:rsidTr="00321D04">
        <w:tc>
          <w:tcPr>
            <w:tcW w:w="20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73D2785" w14:textId="54909262" w:rsidR="00F400EE" w:rsidRPr="007349CF" w:rsidRDefault="00F400EE" w:rsidP="00F400EE">
            <w:pPr>
              <w:pStyle w:val="Odlomakpopisa"/>
              <w:numPr>
                <w:ilvl w:val="1"/>
                <w:numId w:val="16"/>
              </w:numPr>
              <w:jc w:val="left"/>
              <w:rPr>
                <w:rFonts w:ascii="Arial" w:hAnsi="Arial" w:cs="Arial"/>
                <w:color w:val="000000" w:themeColor="text1"/>
                <w:sz w:val="22"/>
                <w:szCs w:val="22"/>
                <w:lang w:val="hr-HR"/>
              </w:rPr>
            </w:pPr>
            <w:r w:rsidRPr="007349CF">
              <w:rPr>
                <w:rFonts w:ascii="Arial" w:hAnsi="Arial" w:cs="Arial"/>
                <w:color w:val="000000" w:themeColor="text1"/>
                <w:sz w:val="22"/>
                <w:szCs w:val="22"/>
                <w:lang w:val="hr-HR"/>
              </w:rPr>
              <w:t>Kapaciteti za ocjenjivanje krajnjih primatelja</w:t>
            </w:r>
          </w:p>
          <w:p w14:paraId="3021F495" w14:textId="77777777" w:rsidR="00F400EE" w:rsidRPr="007349CF" w:rsidRDefault="00F400EE" w:rsidP="00F400EE">
            <w:pPr>
              <w:rPr>
                <w:rFonts w:ascii="Arial" w:hAnsi="Arial" w:cs="Arial"/>
                <w:color w:val="000000" w:themeColor="text1"/>
                <w:sz w:val="22"/>
                <w:szCs w:val="22"/>
                <w:lang w:val="hr-HR"/>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0B4C0" w14:textId="5E6B066A" w:rsidR="00F400EE" w:rsidRPr="007349CF" w:rsidRDefault="007E6862" w:rsidP="00F400EE">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w:t>
            </w:r>
            <w:r w:rsidR="00F400EE" w:rsidRPr="007349CF">
              <w:rPr>
                <w:rFonts w:ascii="Arial" w:hAnsi="Arial" w:cs="Arial"/>
                <w:sz w:val="22"/>
                <w:szCs w:val="22"/>
                <w:lang w:val="hr-HR"/>
              </w:rPr>
              <w:t>nenaplativih kredita (krediti u rizičnim skupinama  B i C) u ukupnim kreditima odobrenim nefinancijskim trgovačkim društvima (F11).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2DB35" w14:textId="6BFBF88B"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5</w:t>
            </w:r>
          </w:p>
        </w:tc>
      </w:tr>
      <w:tr w:rsidR="00F400EE" w:rsidRPr="007349CF" w14:paraId="54EC4D3A" w14:textId="77777777" w:rsidTr="00321D04">
        <w:tc>
          <w:tcPr>
            <w:tcW w:w="20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0E65D" w14:textId="77777777" w:rsidR="00F400EE" w:rsidRPr="007349CF" w:rsidRDefault="00F400EE" w:rsidP="00F400EE">
            <w:pPr>
              <w:rPr>
                <w:rFonts w:ascii="Arial" w:hAnsi="Arial" w:cs="Arial"/>
                <w:color w:val="000000" w:themeColor="text1"/>
                <w:sz w:val="22"/>
                <w:szCs w:val="22"/>
                <w:lang w:val="hr-HR" w:eastAsia="zh-CN"/>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26843" w14:textId="59D693C2" w:rsidR="00F400EE" w:rsidRPr="007349CF" w:rsidRDefault="007E6862" w:rsidP="00F400EE">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w:t>
            </w:r>
            <w:r w:rsidR="00F400EE" w:rsidRPr="007349CF">
              <w:rPr>
                <w:rFonts w:ascii="Arial" w:hAnsi="Arial" w:cs="Arial"/>
                <w:sz w:val="22"/>
                <w:szCs w:val="22"/>
                <w:lang w:val="hr-HR"/>
              </w:rPr>
              <w:t xml:space="preserve">nenaplativih kredita (krediti u rizičnim skupinama  B i C)  u ukupnim kreditima odobrenim nefinancijskim trgovačkim društvima (F11) u statusu mikro, malih i srednjih poduzetnika.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68A16" w14:textId="512DF3EA"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5</w:t>
            </w:r>
          </w:p>
        </w:tc>
      </w:tr>
      <w:tr w:rsidR="00F400EE" w:rsidRPr="007349CF" w14:paraId="4563B276" w14:textId="77777777" w:rsidTr="00321D04">
        <w:tc>
          <w:tcPr>
            <w:tcW w:w="20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5B7EBE" w14:textId="77777777" w:rsidR="00F400EE" w:rsidRPr="007349CF" w:rsidRDefault="00F400EE" w:rsidP="00F400EE">
            <w:pPr>
              <w:rPr>
                <w:rFonts w:ascii="Arial" w:hAnsi="Arial" w:cs="Arial"/>
                <w:color w:val="000000" w:themeColor="text1"/>
                <w:sz w:val="22"/>
                <w:szCs w:val="22"/>
                <w:lang w:val="hr-HR" w:eastAsia="zh-CN"/>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E995C" w14:textId="0ACAA42F" w:rsidR="00F400EE" w:rsidRPr="007349CF" w:rsidRDefault="007E6862" w:rsidP="004075C1">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w:t>
            </w:r>
            <w:r w:rsidR="00F400EE" w:rsidRPr="007349CF">
              <w:rPr>
                <w:rFonts w:ascii="Arial" w:hAnsi="Arial" w:cs="Arial"/>
                <w:sz w:val="22"/>
                <w:szCs w:val="22"/>
                <w:lang w:val="hr-HR"/>
              </w:rPr>
              <w:t xml:space="preserve">nenaplativih kredita (krediti u rizičnim skupinama  B i C)  u ukupnim kreditima odobrenim nefinancijskim trgovačkim društvima Početnicima (do 5 g. fin. </w:t>
            </w:r>
            <w:proofErr w:type="spellStart"/>
            <w:r w:rsidR="00F400EE" w:rsidRPr="007349CF">
              <w:rPr>
                <w:rFonts w:ascii="Arial" w:hAnsi="Arial" w:cs="Arial"/>
                <w:sz w:val="22"/>
                <w:szCs w:val="22"/>
                <w:lang w:val="hr-HR"/>
              </w:rPr>
              <w:t>izvj</w:t>
            </w:r>
            <w:proofErr w:type="spellEnd"/>
            <w:r w:rsidR="00F400EE" w:rsidRPr="007349CF">
              <w:rPr>
                <w:rFonts w:ascii="Arial" w:hAnsi="Arial" w:cs="Arial"/>
                <w:sz w:val="22"/>
                <w:szCs w:val="22"/>
                <w:lang w:val="hr-HR"/>
              </w:rPr>
              <w:t>. u Registru Fine).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E3929" w14:textId="0F30BEFB"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5</w:t>
            </w:r>
          </w:p>
        </w:tc>
      </w:tr>
      <w:tr w:rsidR="00F400EE" w:rsidRPr="007349CF" w14:paraId="68DC61E8" w14:textId="77777777" w:rsidTr="00321D04">
        <w:tc>
          <w:tcPr>
            <w:tcW w:w="20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CC2272B" w14:textId="77777777" w:rsidR="00F400EE" w:rsidRPr="007349CF" w:rsidRDefault="00F400EE" w:rsidP="00F400EE">
            <w:pPr>
              <w:rPr>
                <w:rFonts w:ascii="Arial" w:hAnsi="Arial" w:cs="Arial"/>
                <w:color w:val="000000" w:themeColor="text1"/>
                <w:sz w:val="22"/>
                <w:szCs w:val="22"/>
                <w:lang w:val="hr-HR" w:eastAsia="zh-CN"/>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56F57" w14:textId="4FD8FB15" w:rsidR="00F400EE" w:rsidRPr="007349CF" w:rsidRDefault="007E6862" w:rsidP="00F400EE">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w:t>
            </w:r>
            <w:r w:rsidR="00F400EE" w:rsidRPr="007349CF">
              <w:rPr>
                <w:rFonts w:ascii="Arial" w:hAnsi="Arial" w:cs="Arial"/>
                <w:sz w:val="22"/>
                <w:szCs w:val="22"/>
                <w:lang w:val="hr-HR"/>
              </w:rPr>
              <w:t>nenaplativih kredita (krediti u rizičnim s</w:t>
            </w:r>
            <w:r w:rsidR="004075C1" w:rsidRPr="007349CF">
              <w:rPr>
                <w:rFonts w:ascii="Arial" w:hAnsi="Arial" w:cs="Arial"/>
                <w:sz w:val="22"/>
                <w:szCs w:val="22"/>
                <w:lang w:val="hr-HR"/>
              </w:rPr>
              <w:t xml:space="preserve">kupinama  B i C)  odobrenim uz </w:t>
            </w:r>
            <w:r w:rsidR="00F400EE" w:rsidRPr="007349CF">
              <w:rPr>
                <w:rFonts w:ascii="Arial" w:hAnsi="Arial" w:cs="Arial"/>
                <w:sz w:val="22"/>
                <w:szCs w:val="22"/>
                <w:lang w:val="hr-HR"/>
              </w:rPr>
              <w:t>jamstvo HAMAG-BICRO-a.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D4AD3" w14:textId="212B93CF"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5</w:t>
            </w:r>
          </w:p>
        </w:tc>
      </w:tr>
      <w:tr w:rsidR="00F400EE" w:rsidRPr="007349CF" w14:paraId="43030343" w14:textId="77777777" w:rsidTr="00953F3F">
        <w:trPr>
          <w:trHeight w:hRule="exact" w:val="942"/>
        </w:trPr>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4F8A4" w14:textId="551928CA" w:rsidR="00F400EE" w:rsidRPr="007349CF" w:rsidRDefault="00F400EE" w:rsidP="00F400EE">
            <w:pPr>
              <w:pStyle w:val="Odlomakpopisa"/>
              <w:numPr>
                <w:ilvl w:val="1"/>
                <w:numId w:val="16"/>
              </w:numPr>
              <w:rPr>
                <w:rFonts w:ascii="Arial" w:hAnsi="Arial" w:cs="Arial"/>
                <w:color w:val="000000" w:themeColor="text1"/>
                <w:sz w:val="22"/>
                <w:szCs w:val="22"/>
                <w:lang w:val="hr-HR"/>
              </w:rPr>
            </w:pPr>
            <w:r w:rsidRPr="007349CF">
              <w:rPr>
                <w:rFonts w:ascii="Arial" w:hAnsi="Arial" w:cs="Arial"/>
                <w:color w:val="000000" w:themeColor="text1"/>
                <w:sz w:val="22"/>
                <w:szCs w:val="22"/>
                <w:lang w:val="hr-HR"/>
              </w:rPr>
              <w:t>Geografski doseg</w:t>
            </w:r>
          </w:p>
          <w:p w14:paraId="78E392FA" w14:textId="77777777" w:rsidR="00F400EE" w:rsidRPr="007349CF" w:rsidRDefault="00F400EE" w:rsidP="00F400EE">
            <w:pPr>
              <w:rPr>
                <w:rFonts w:ascii="Arial" w:hAnsi="Arial" w:cs="Arial"/>
                <w:color w:val="000000" w:themeColor="text1"/>
                <w:sz w:val="22"/>
                <w:szCs w:val="22"/>
                <w:lang w:val="hr-HR"/>
              </w:rPr>
            </w:pP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A7422" w14:textId="26861D18" w:rsidR="00F400EE" w:rsidRPr="007349CF" w:rsidRDefault="00F400EE" w:rsidP="004316F8">
            <w:pPr>
              <w:jc w:val="left"/>
              <w:rPr>
                <w:rFonts w:ascii="Arial" w:hAnsi="Arial" w:cs="Arial"/>
                <w:color w:val="000000" w:themeColor="text1"/>
                <w:sz w:val="22"/>
                <w:szCs w:val="22"/>
                <w:lang w:val="hr-HR"/>
              </w:rPr>
            </w:pPr>
            <w:r w:rsidRPr="007349CF">
              <w:rPr>
                <w:rFonts w:ascii="Arial" w:hAnsi="Arial" w:cs="Arial"/>
                <w:sz w:val="22"/>
                <w:szCs w:val="22"/>
                <w:lang w:val="hr-HR"/>
              </w:rPr>
              <w:t xml:space="preserve">% udjel županija u kojima banka ima minimalnu jednu </w:t>
            </w:r>
            <w:r w:rsidR="004C7668" w:rsidRPr="007349CF">
              <w:rPr>
                <w:rFonts w:ascii="Arial" w:hAnsi="Arial" w:cs="Arial"/>
                <w:sz w:val="22"/>
                <w:szCs w:val="22"/>
                <w:lang w:val="hr-HR"/>
              </w:rPr>
              <w:t>posl</w:t>
            </w:r>
            <w:r w:rsidR="00F741F2">
              <w:rPr>
                <w:rFonts w:ascii="Arial" w:hAnsi="Arial" w:cs="Arial"/>
                <w:sz w:val="22"/>
                <w:szCs w:val="22"/>
                <w:lang w:val="hr-HR"/>
              </w:rPr>
              <w:t>o</w:t>
            </w:r>
            <w:r w:rsidR="004C7668" w:rsidRPr="007349CF">
              <w:rPr>
                <w:rFonts w:ascii="Arial" w:hAnsi="Arial" w:cs="Arial"/>
                <w:sz w:val="22"/>
                <w:szCs w:val="22"/>
                <w:lang w:val="hr-HR"/>
              </w:rPr>
              <w:t>vnicu</w:t>
            </w:r>
            <w:r w:rsidRPr="007349CF">
              <w:rPr>
                <w:rFonts w:ascii="Arial" w:hAnsi="Arial" w:cs="Arial"/>
                <w:sz w:val="22"/>
                <w:szCs w:val="22"/>
                <w:lang w:val="hr-HR"/>
              </w:rPr>
              <w:t xml:space="preserve"> u ukupnom broju županija na 31.12.201</w:t>
            </w:r>
            <w:r w:rsidR="00F741F2">
              <w:rPr>
                <w:rFonts w:ascii="Arial" w:hAnsi="Arial" w:cs="Arial"/>
                <w:sz w:val="22"/>
                <w:szCs w:val="22"/>
                <w:lang w:val="hr-HR"/>
              </w:rPr>
              <w:t>8</w:t>
            </w:r>
            <w:r w:rsidRPr="007349CF">
              <w:rPr>
                <w:rFonts w:ascii="Arial" w:hAnsi="Arial" w:cs="Arial"/>
                <w:sz w:val="22"/>
                <w:szCs w:val="22"/>
                <w:lang w:val="hr-HR"/>
              </w:rPr>
              <w:t>. godine. (zajedno grad Zagreb + Zagrebačka županija).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62B2B" w14:textId="4E4560FA" w:rsidR="00F400EE" w:rsidRPr="007349CF" w:rsidRDefault="00F400EE" w:rsidP="00F400EE">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14</w:t>
            </w:r>
          </w:p>
        </w:tc>
      </w:tr>
      <w:tr w:rsidR="002642E6" w:rsidRPr="007349CF" w14:paraId="31DF8848" w14:textId="77777777" w:rsidTr="00953F3F">
        <w:trPr>
          <w:trHeight w:hRule="exact" w:val="567"/>
        </w:trPr>
        <w:tc>
          <w:tcPr>
            <w:tcW w:w="83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3888" w14:textId="02199B38" w:rsidR="002642E6" w:rsidRPr="007349CF" w:rsidRDefault="002642E6" w:rsidP="002642E6">
            <w:pPr>
              <w:jc w:val="left"/>
              <w:rPr>
                <w:rFonts w:ascii="Arial" w:hAnsi="Arial" w:cs="Arial"/>
                <w:b/>
                <w:sz w:val="22"/>
                <w:szCs w:val="22"/>
                <w:lang w:val="hr-HR"/>
              </w:rPr>
            </w:pPr>
            <w:r w:rsidRPr="007349CF">
              <w:rPr>
                <w:rFonts w:ascii="Arial" w:hAnsi="Arial" w:cs="Arial"/>
                <w:b/>
                <w:sz w:val="22"/>
                <w:szCs w:val="22"/>
                <w:lang w:val="hr-HR"/>
              </w:rPr>
              <w:t xml:space="preserve">Ukupno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46EE7" w14:textId="556AA8DB" w:rsidR="002642E6" w:rsidRPr="007349CF" w:rsidRDefault="002642E6" w:rsidP="00F400EE">
            <w:pPr>
              <w:jc w:val="center"/>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50</w:t>
            </w:r>
          </w:p>
        </w:tc>
      </w:tr>
    </w:tbl>
    <w:p w14:paraId="79AD0E39" w14:textId="77777777" w:rsidR="00F953EC" w:rsidRPr="007349CF" w:rsidRDefault="00E60764" w:rsidP="00E60764">
      <w:pPr>
        <w:tabs>
          <w:tab w:val="left" w:pos="1605"/>
        </w:tabs>
        <w:spacing w:after="160" w:line="259" w:lineRule="auto"/>
        <w:jc w:val="left"/>
        <w:rPr>
          <w:rFonts w:ascii="Arial" w:eastAsiaTheme="minorHAnsi" w:hAnsi="Arial" w:cs="Arial"/>
          <w:b/>
          <w:color w:val="000000"/>
          <w:sz w:val="22"/>
          <w:szCs w:val="22"/>
          <w:lang w:val="hr-HR"/>
        </w:rPr>
      </w:pPr>
      <w:r w:rsidRPr="007349CF">
        <w:rPr>
          <w:rFonts w:ascii="Arial" w:eastAsiaTheme="minorHAnsi" w:hAnsi="Arial" w:cs="Arial"/>
          <w:b/>
          <w:color w:val="000000"/>
          <w:sz w:val="22"/>
          <w:szCs w:val="22"/>
          <w:lang w:val="hr-HR"/>
        </w:rPr>
        <w:tab/>
      </w:r>
    </w:p>
    <w:tbl>
      <w:tblPr>
        <w:tblStyle w:val="Reetkatablice"/>
        <w:tblW w:w="9343" w:type="dxa"/>
        <w:tblInd w:w="34" w:type="dxa"/>
        <w:tblLayout w:type="fixed"/>
        <w:tblLook w:val="04A0" w:firstRow="1" w:lastRow="0" w:firstColumn="1" w:lastColumn="0" w:noHBand="0" w:noVBand="1"/>
      </w:tblPr>
      <w:tblGrid>
        <w:gridCol w:w="8325"/>
        <w:gridCol w:w="1018"/>
      </w:tblGrid>
      <w:tr w:rsidR="00C039D7" w:rsidRPr="007349CF" w14:paraId="5F5F22E0" w14:textId="77777777" w:rsidTr="002642E6">
        <w:trPr>
          <w:trHeight w:val="384"/>
        </w:trPr>
        <w:tc>
          <w:tcPr>
            <w:tcW w:w="9343" w:type="dxa"/>
            <w:gridSpan w:val="2"/>
            <w:shd w:val="clear" w:color="auto" w:fill="F2F2F2" w:themeFill="background1" w:themeFillShade="F2"/>
            <w:vAlign w:val="center"/>
          </w:tcPr>
          <w:p w14:paraId="77DCC467" w14:textId="77777777" w:rsidR="00C039D7" w:rsidRPr="007349CF" w:rsidRDefault="00473C45" w:rsidP="002642E6">
            <w:pPr>
              <w:pStyle w:val="Odlomakpopisa"/>
              <w:spacing w:after="0"/>
              <w:ind w:left="0"/>
              <w:rPr>
                <w:rFonts w:ascii="Arial" w:hAnsi="Arial" w:cs="Arial"/>
                <w:b/>
                <w:sz w:val="22"/>
                <w:szCs w:val="22"/>
                <w:lang w:val="hr-HR"/>
              </w:rPr>
            </w:pPr>
            <w:r w:rsidRPr="007349CF">
              <w:rPr>
                <w:rFonts w:ascii="Arial" w:hAnsi="Arial" w:cs="Arial"/>
                <w:b/>
                <w:sz w:val="22"/>
                <w:szCs w:val="22"/>
                <w:lang w:val="hr-HR"/>
              </w:rPr>
              <w:t>Kriterij</w:t>
            </w:r>
            <w:r w:rsidR="005D37DB" w:rsidRPr="007349CF">
              <w:rPr>
                <w:rFonts w:ascii="Arial" w:hAnsi="Arial" w:cs="Arial"/>
                <w:b/>
                <w:sz w:val="22"/>
                <w:szCs w:val="22"/>
                <w:lang w:val="hr-HR"/>
              </w:rPr>
              <w:t xml:space="preserve"> 2: Politika određivanja cijena</w:t>
            </w:r>
          </w:p>
          <w:p w14:paraId="7F078AA7" w14:textId="77777777" w:rsidR="002642E6" w:rsidRPr="007349CF" w:rsidRDefault="002642E6" w:rsidP="002642E6">
            <w:pPr>
              <w:pStyle w:val="Odlomakpopisa"/>
              <w:spacing w:after="0"/>
              <w:ind w:left="0"/>
              <w:rPr>
                <w:rFonts w:ascii="Arial" w:hAnsi="Arial" w:cs="Arial"/>
                <w:b/>
                <w:sz w:val="22"/>
                <w:szCs w:val="22"/>
                <w:lang w:val="hr-HR"/>
              </w:rPr>
            </w:pPr>
          </w:p>
        </w:tc>
      </w:tr>
      <w:tr w:rsidR="00501D38" w:rsidRPr="007349CF" w14:paraId="2ADF6871" w14:textId="77777777" w:rsidTr="00A142C7">
        <w:trPr>
          <w:trHeight w:val="796"/>
        </w:trPr>
        <w:tc>
          <w:tcPr>
            <w:tcW w:w="8325" w:type="dxa"/>
            <w:shd w:val="clear" w:color="auto" w:fill="F2F2F2" w:themeFill="background1" w:themeFillShade="F2"/>
            <w:vAlign w:val="center"/>
          </w:tcPr>
          <w:p w14:paraId="5C1B0F94" w14:textId="49325117" w:rsidR="00501D38" w:rsidRPr="007349CF" w:rsidRDefault="00501D38" w:rsidP="002642E6">
            <w:pPr>
              <w:pStyle w:val="Odlomakpopisa"/>
              <w:spacing w:after="0"/>
              <w:ind w:left="0"/>
              <w:rPr>
                <w:rFonts w:ascii="Arial" w:hAnsi="Arial" w:cs="Arial"/>
                <w:b/>
                <w:sz w:val="22"/>
                <w:szCs w:val="22"/>
                <w:lang w:val="hr-HR"/>
              </w:rPr>
            </w:pPr>
            <w:r w:rsidRPr="007349CF">
              <w:rPr>
                <w:rFonts w:ascii="Arial" w:hAnsi="Arial" w:cs="Arial"/>
                <w:b/>
                <w:sz w:val="22"/>
                <w:szCs w:val="22"/>
                <w:lang w:val="hr-HR"/>
              </w:rPr>
              <w:t>Kriteriji</w:t>
            </w:r>
            <w:r w:rsidR="002642E6" w:rsidRPr="007349CF">
              <w:rPr>
                <w:rFonts w:ascii="Arial" w:hAnsi="Arial" w:cs="Arial"/>
                <w:b/>
                <w:sz w:val="22"/>
                <w:szCs w:val="22"/>
                <w:lang w:val="hr-HR"/>
              </w:rPr>
              <w:tab/>
            </w:r>
          </w:p>
        </w:tc>
        <w:tc>
          <w:tcPr>
            <w:tcW w:w="1018" w:type="dxa"/>
            <w:shd w:val="clear" w:color="auto" w:fill="F2F2F2" w:themeFill="background1" w:themeFillShade="F2"/>
            <w:vAlign w:val="center"/>
          </w:tcPr>
          <w:p w14:paraId="153199A1" w14:textId="173A860B" w:rsidR="00501D38" w:rsidRPr="007349CF" w:rsidRDefault="002642E6" w:rsidP="002642E6">
            <w:pPr>
              <w:pStyle w:val="Odlomakpopisa"/>
              <w:spacing w:after="0"/>
              <w:ind w:left="0"/>
              <w:rPr>
                <w:rFonts w:ascii="Arial" w:hAnsi="Arial" w:cs="Arial"/>
                <w:b/>
                <w:sz w:val="22"/>
                <w:szCs w:val="22"/>
                <w:lang w:val="hr-HR"/>
              </w:rPr>
            </w:pPr>
            <w:r w:rsidRPr="007349CF">
              <w:rPr>
                <w:rFonts w:ascii="Arial" w:hAnsi="Arial" w:cs="Arial"/>
                <w:b/>
                <w:sz w:val="22"/>
                <w:szCs w:val="22"/>
                <w:lang w:val="hr-HR"/>
              </w:rPr>
              <w:t>Maks. bodov</w:t>
            </w:r>
            <w:r w:rsidR="00A142C7" w:rsidRPr="007349CF">
              <w:rPr>
                <w:rFonts w:ascii="Arial" w:hAnsi="Arial" w:cs="Arial"/>
                <w:b/>
                <w:sz w:val="22"/>
                <w:szCs w:val="22"/>
                <w:lang w:val="hr-HR"/>
              </w:rPr>
              <w:t>i</w:t>
            </w:r>
          </w:p>
        </w:tc>
      </w:tr>
      <w:tr w:rsidR="00501D38" w:rsidRPr="007349CF" w14:paraId="76B35712" w14:textId="77777777" w:rsidTr="00A142C7">
        <w:trPr>
          <w:trHeight w:val="548"/>
        </w:trPr>
        <w:tc>
          <w:tcPr>
            <w:tcW w:w="8325" w:type="dxa"/>
          </w:tcPr>
          <w:p w14:paraId="7B1B968D" w14:textId="4225C384" w:rsidR="00501D38" w:rsidRPr="007349CF" w:rsidRDefault="00321D04" w:rsidP="004316F8">
            <w:pPr>
              <w:ind w:left="360"/>
              <w:jc w:val="left"/>
              <w:rPr>
                <w:rFonts w:ascii="Arial" w:hAnsi="Arial" w:cs="Arial"/>
                <w:color w:val="000000" w:themeColor="text1"/>
                <w:sz w:val="22"/>
                <w:szCs w:val="22"/>
                <w:lang w:val="hr-HR"/>
              </w:rPr>
            </w:pPr>
            <w:r w:rsidRPr="007349CF">
              <w:rPr>
                <w:rFonts w:ascii="Arial" w:hAnsi="Arial" w:cs="Arial"/>
                <w:color w:val="000000" w:themeColor="text1"/>
                <w:sz w:val="22"/>
                <w:szCs w:val="22"/>
                <w:lang w:val="hr-HR"/>
              </w:rPr>
              <w:t>2.1.</w:t>
            </w:r>
            <w:r w:rsidR="00501D38" w:rsidRPr="007349CF">
              <w:rPr>
                <w:rFonts w:ascii="Arial" w:hAnsi="Arial" w:cs="Arial"/>
                <w:color w:val="000000" w:themeColor="text1"/>
                <w:sz w:val="22"/>
                <w:szCs w:val="22"/>
                <w:lang w:val="hr-HR"/>
              </w:rPr>
              <w:t xml:space="preserve">Prosječna nominalna kamatna stopa na </w:t>
            </w:r>
            <w:proofErr w:type="spellStart"/>
            <w:r w:rsidR="00501D38" w:rsidRPr="007349CF">
              <w:rPr>
                <w:rFonts w:ascii="Arial" w:hAnsi="Arial" w:cs="Arial"/>
                <w:color w:val="000000" w:themeColor="text1"/>
                <w:sz w:val="22"/>
                <w:szCs w:val="22"/>
                <w:lang w:val="hr-HR"/>
              </w:rPr>
              <w:t>prihodujuće</w:t>
            </w:r>
            <w:proofErr w:type="spellEnd"/>
            <w:r w:rsidR="00501D38" w:rsidRPr="007349CF">
              <w:rPr>
                <w:rFonts w:ascii="Arial" w:hAnsi="Arial" w:cs="Arial"/>
                <w:color w:val="000000" w:themeColor="text1"/>
                <w:sz w:val="22"/>
                <w:szCs w:val="22"/>
                <w:lang w:val="hr-HR"/>
              </w:rPr>
              <w:t xml:space="preserve"> kredite na kraju 201</w:t>
            </w:r>
            <w:r w:rsidR="00F741F2">
              <w:rPr>
                <w:rFonts w:ascii="Arial" w:hAnsi="Arial" w:cs="Arial"/>
                <w:color w:val="000000" w:themeColor="text1"/>
                <w:sz w:val="22"/>
                <w:szCs w:val="22"/>
                <w:lang w:val="hr-HR"/>
              </w:rPr>
              <w:t>8</w:t>
            </w:r>
            <w:r w:rsidR="00501D38" w:rsidRPr="007349CF">
              <w:rPr>
                <w:rFonts w:ascii="Arial" w:hAnsi="Arial" w:cs="Arial"/>
                <w:color w:val="000000" w:themeColor="text1"/>
                <w:sz w:val="22"/>
                <w:szCs w:val="22"/>
                <w:lang w:val="hr-HR"/>
              </w:rPr>
              <w:t>. godine</w:t>
            </w:r>
          </w:p>
        </w:tc>
        <w:tc>
          <w:tcPr>
            <w:tcW w:w="1018" w:type="dxa"/>
            <w:hideMark/>
          </w:tcPr>
          <w:p w14:paraId="6C6B9801" w14:textId="1FD1B108" w:rsidR="00501D38" w:rsidRPr="007349CF" w:rsidRDefault="002642E6" w:rsidP="006D2E4B">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12</w:t>
            </w:r>
          </w:p>
        </w:tc>
      </w:tr>
      <w:tr w:rsidR="00501D38" w:rsidRPr="007349CF" w14:paraId="5466022B" w14:textId="77777777" w:rsidTr="00A142C7">
        <w:trPr>
          <w:trHeight w:val="795"/>
        </w:trPr>
        <w:tc>
          <w:tcPr>
            <w:tcW w:w="8325" w:type="dxa"/>
          </w:tcPr>
          <w:p w14:paraId="2B8C51EB" w14:textId="3B492EBC" w:rsidR="00501D38" w:rsidRPr="007349CF" w:rsidRDefault="00321D04" w:rsidP="00321D04">
            <w:pPr>
              <w:ind w:left="360"/>
              <w:jc w:val="left"/>
              <w:rPr>
                <w:rFonts w:ascii="Arial" w:hAnsi="Arial" w:cs="Arial"/>
                <w:color w:val="000000" w:themeColor="text1"/>
                <w:sz w:val="22"/>
                <w:szCs w:val="22"/>
                <w:lang w:val="hr-HR"/>
              </w:rPr>
            </w:pPr>
            <w:r w:rsidRPr="007349CF">
              <w:rPr>
                <w:rFonts w:ascii="Arial" w:hAnsi="Arial" w:cs="Arial"/>
                <w:color w:val="000000" w:themeColor="text1"/>
                <w:sz w:val="22"/>
                <w:szCs w:val="22"/>
                <w:lang w:val="hr-HR"/>
              </w:rPr>
              <w:t>2.2.</w:t>
            </w:r>
            <w:r w:rsidR="00501D38" w:rsidRPr="007349CF">
              <w:rPr>
                <w:rFonts w:ascii="Arial" w:hAnsi="Arial" w:cs="Arial"/>
                <w:color w:val="000000" w:themeColor="text1"/>
                <w:sz w:val="22"/>
                <w:szCs w:val="22"/>
                <w:lang w:val="hr-HR"/>
              </w:rPr>
              <w:t>Linearno umanjenje kamatne stope od strane financijske institucije u odnosu na stopu jamstva</w:t>
            </w:r>
          </w:p>
        </w:tc>
        <w:tc>
          <w:tcPr>
            <w:tcW w:w="1018" w:type="dxa"/>
            <w:hideMark/>
          </w:tcPr>
          <w:p w14:paraId="412F7345" w14:textId="5D09C0D4" w:rsidR="00501D38" w:rsidRPr="007349CF" w:rsidRDefault="002642E6" w:rsidP="006D2E4B">
            <w:pPr>
              <w:jc w:val="center"/>
              <w:rPr>
                <w:rFonts w:ascii="Arial" w:hAnsi="Arial" w:cs="Arial"/>
                <w:color w:val="000000" w:themeColor="text1"/>
                <w:sz w:val="22"/>
                <w:szCs w:val="22"/>
                <w:lang w:val="hr-HR"/>
              </w:rPr>
            </w:pPr>
            <w:r w:rsidRPr="007349CF">
              <w:rPr>
                <w:rFonts w:ascii="Arial" w:hAnsi="Arial" w:cs="Arial"/>
                <w:color w:val="000000" w:themeColor="text1"/>
                <w:sz w:val="22"/>
                <w:szCs w:val="22"/>
                <w:lang w:val="hr-HR"/>
              </w:rPr>
              <w:t>38</w:t>
            </w:r>
          </w:p>
        </w:tc>
      </w:tr>
      <w:tr w:rsidR="00501D38" w:rsidRPr="007349CF" w14:paraId="4B654CA8" w14:textId="77777777" w:rsidTr="00A142C7">
        <w:trPr>
          <w:trHeight w:val="576"/>
        </w:trPr>
        <w:tc>
          <w:tcPr>
            <w:tcW w:w="8325" w:type="dxa"/>
          </w:tcPr>
          <w:p w14:paraId="63B1250D" w14:textId="6B67A45E" w:rsidR="00501D38" w:rsidRPr="007349CF" w:rsidRDefault="002642E6" w:rsidP="002642E6">
            <w:pPr>
              <w:jc w:val="left"/>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Ukupno</w:t>
            </w:r>
          </w:p>
        </w:tc>
        <w:tc>
          <w:tcPr>
            <w:tcW w:w="1018" w:type="dxa"/>
          </w:tcPr>
          <w:p w14:paraId="1DE73EEA" w14:textId="1A895A5C" w:rsidR="00501D38" w:rsidRPr="007349CF" w:rsidRDefault="002642E6" w:rsidP="006D2E4B">
            <w:pPr>
              <w:jc w:val="center"/>
              <w:rPr>
                <w:rFonts w:ascii="Arial" w:hAnsi="Arial" w:cs="Arial"/>
                <w:b/>
                <w:color w:val="000000" w:themeColor="text1"/>
                <w:sz w:val="22"/>
                <w:szCs w:val="22"/>
                <w:lang w:val="hr-HR"/>
              </w:rPr>
            </w:pPr>
            <w:r w:rsidRPr="007349CF">
              <w:rPr>
                <w:rFonts w:ascii="Arial" w:hAnsi="Arial" w:cs="Arial"/>
                <w:b/>
                <w:color w:val="000000" w:themeColor="text1"/>
                <w:sz w:val="22"/>
                <w:szCs w:val="22"/>
                <w:lang w:val="hr-HR"/>
              </w:rPr>
              <w:t>50</w:t>
            </w:r>
          </w:p>
        </w:tc>
      </w:tr>
    </w:tbl>
    <w:p w14:paraId="083AA4F9" w14:textId="77777777" w:rsidR="00C039D7" w:rsidRPr="007349CF" w:rsidRDefault="00C039D7" w:rsidP="00C039D7">
      <w:pPr>
        <w:rPr>
          <w:rFonts w:ascii="Arial" w:hAnsi="Arial" w:cs="Arial"/>
          <w:color w:val="FF0000"/>
          <w:sz w:val="22"/>
          <w:szCs w:val="22"/>
          <w:lang w:val="hr-HR" w:eastAsia="zh-CN"/>
        </w:rPr>
      </w:pPr>
    </w:p>
    <w:p w14:paraId="4CD79310" w14:textId="77777777" w:rsidR="00C039D7" w:rsidRPr="007349CF" w:rsidRDefault="00C039D7" w:rsidP="00C039D7">
      <w:pPr>
        <w:rPr>
          <w:rFonts w:ascii="Arial" w:hAnsi="Arial" w:cs="Arial"/>
          <w:color w:val="FF0000"/>
          <w:sz w:val="22"/>
          <w:szCs w:val="22"/>
          <w:lang w:val="hr-HR" w:eastAsia="zh-CN"/>
        </w:rPr>
      </w:pPr>
    </w:p>
    <w:p w14:paraId="0531A5E8" w14:textId="77777777" w:rsidR="001B4C0A" w:rsidRPr="007349CF" w:rsidRDefault="001B4C0A" w:rsidP="001B4C0A">
      <w:pPr>
        <w:jc w:val="center"/>
        <w:rPr>
          <w:rFonts w:ascii="Arial" w:hAnsi="Arial" w:cs="Arial"/>
          <w:b/>
          <w:color w:val="000000" w:themeColor="text1"/>
          <w:sz w:val="22"/>
          <w:szCs w:val="22"/>
          <w:lang w:val="hr-HR"/>
        </w:rPr>
      </w:pPr>
    </w:p>
    <w:p w14:paraId="5950E11E" w14:textId="77777777" w:rsidR="00152097" w:rsidRPr="007349CF" w:rsidRDefault="00152097">
      <w:pPr>
        <w:spacing w:after="160" w:line="259" w:lineRule="auto"/>
        <w:jc w:val="left"/>
        <w:rPr>
          <w:rFonts w:ascii="Arial" w:eastAsiaTheme="minorHAnsi" w:hAnsi="Arial" w:cs="Arial"/>
          <w:b/>
          <w:color w:val="000000"/>
          <w:sz w:val="22"/>
          <w:szCs w:val="22"/>
          <w:lang w:val="hr-HR"/>
        </w:rPr>
      </w:pPr>
    </w:p>
    <w:p w14:paraId="0ED916F1" w14:textId="77777777" w:rsidR="001B4C0A" w:rsidRPr="007349CF" w:rsidRDefault="001B4C0A">
      <w:pPr>
        <w:spacing w:after="160" w:line="259" w:lineRule="auto"/>
        <w:jc w:val="left"/>
        <w:rPr>
          <w:rFonts w:ascii="Arial" w:eastAsiaTheme="minorHAnsi" w:hAnsi="Arial" w:cs="Arial"/>
          <w:b/>
          <w:color w:val="000000"/>
          <w:sz w:val="22"/>
          <w:szCs w:val="22"/>
          <w:lang w:val="hr-HR"/>
        </w:rPr>
      </w:pPr>
      <w:r w:rsidRPr="007349CF">
        <w:rPr>
          <w:rFonts w:ascii="Arial" w:hAnsi="Arial" w:cs="Arial"/>
          <w:b/>
          <w:sz w:val="22"/>
          <w:szCs w:val="22"/>
          <w:lang w:val="hr-HR"/>
        </w:rPr>
        <w:br w:type="page"/>
      </w:r>
    </w:p>
    <w:p w14:paraId="3951C343" w14:textId="77777777" w:rsidR="00F953EC" w:rsidRPr="007349CF" w:rsidRDefault="009447F6" w:rsidP="00F953EC">
      <w:pPr>
        <w:pStyle w:val="Default"/>
        <w:jc w:val="center"/>
        <w:rPr>
          <w:rFonts w:ascii="Arial" w:hAnsi="Arial" w:cs="Arial"/>
          <w:b/>
          <w:sz w:val="22"/>
          <w:szCs w:val="22"/>
          <w:lang w:val="hr-HR"/>
        </w:rPr>
      </w:pPr>
      <w:r w:rsidRPr="007349CF">
        <w:rPr>
          <w:rFonts w:ascii="Arial" w:hAnsi="Arial" w:cs="Arial"/>
          <w:b/>
          <w:sz w:val="22"/>
          <w:szCs w:val="22"/>
          <w:lang w:val="hr-HR"/>
        </w:rPr>
        <w:lastRenderedPageBreak/>
        <w:t xml:space="preserve">Prilog </w:t>
      </w:r>
      <w:r w:rsidR="00F953EC" w:rsidRPr="007349CF">
        <w:rPr>
          <w:rFonts w:ascii="Arial" w:hAnsi="Arial" w:cs="Arial"/>
          <w:b/>
          <w:sz w:val="22"/>
          <w:szCs w:val="22"/>
          <w:lang w:val="hr-HR"/>
        </w:rPr>
        <w:t>V</w:t>
      </w:r>
    </w:p>
    <w:p w14:paraId="10BCC586" w14:textId="77777777" w:rsidR="00F953EC" w:rsidRPr="007349CF" w:rsidRDefault="00F953EC" w:rsidP="00F953EC">
      <w:pPr>
        <w:pStyle w:val="Default"/>
        <w:jc w:val="center"/>
        <w:rPr>
          <w:rFonts w:ascii="Arial" w:hAnsi="Arial" w:cs="Arial"/>
          <w:b/>
          <w:sz w:val="22"/>
          <w:szCs w:val="22"/>
          <w:lang w:val="hr-HR"/>
        </w:rPr>
      </w:pPr>
    </w:p>
    <w:p w14:paraId="34F25389" w14:textId="77777777" w:rsidR="00F953EC" w:rsidRPr="00321D04" w:rsidRDefault="00473C45" w:rsidP="00F953EC">
      <w:pPr>
        <w:pStyle w:val="Default"/>
        <w:jc w:val="center"/>
        <w:rPr>
          <w:rFonts w:ascii="Arial" w:hAnsi="Arial" w:cs="Arial"/>
          <w:b/>
          <w:sz w:val="22"/>
          <w:szCs w:val="22"/>
          <w:lang w:val="hr-HR"/>
        </w:rPr>
      </w:pPr>
      <w:r w:rsidRPr="007349CF">
        <w:rPr>
          <w:rFonts w:ascii="Arial" w:hAnsi="Arial" w:cs="Arial"/>
          <w:b/>
          <w:sz w:val="22"/>
          <w:szCs w:val="22"/>
          <w:lang w:val="hr-HR"/>
        </w:rPr>
        <w:t>PREDLOŽAK SPORAZUMA O SURA</w:t>
      </w:r>
      <w:r w:rsidR="005D37DB" w:rsidRPr="007349CF">
        <w:rPr>
          <w:rFonts w:ascii="Arial" w:hAnsi="Arial" w:cs="Arial"/>
          <w:b/>
          <w:sz w:val="22"/>
          <w:szCs w:val="22"/>
          <w:lang w:val="hr-HR"/>
        </w:rPr>
        <w:t>D</w:t>
      </w:r>
      <w:r w:rsidRPr="007349CF">
        <w:rPr>
          <w:rFonts w:ascii="Arial" w:hAnsi="Arial" w:cs="Arial"/>
          <w:b/>
          <w:sz w:val="22"/>
          <w:szCs w:val="22"/>
          <w:lang w:val="hr-HR"/>
        </w:rPr>
        <w:t>NJI</w:t>
      </w:r>
    </w:p>
    <w:p w14:paraId="4F7B8EE7" w14:textId="77777777" w:rsidR="00F953EC" w:rsidRPr="00321D04" w:rsidRDefault="00F953EC" w:rsidP="00F953EC">
      <w:pPr>
        <w:pStyle w:val="Default"/>
        <w:jc w:val="center"/>
        <w:rPr>
          <w:rFonts w:ascii="Arial" w:hAnsi="Arial" w:cs="Arial"/>
          <w:b/>
          <w:sz w:val="22"/>
          <w:szCs w:val="22"/>
          <w:lang w:val="hr-HR"/>
        </w:rPr>
      </w:pPr>
    </w:p>
    <w:p w14:paraId="192CBA2D" w14:textId="77777777" w:rsidR="00594097" w:rsidRPr="00321D04" w:rsidRDefault="00594097" w:rsidP="00F953EC">
      <w:pPr>
        <w:pStyle w:val="Default"/>
        <w:jc w:val="center"/>
        <w:rPr>
          <w:rFonts w:ascii="Arial" w:hAnsi="Arial" w:cs="Arial"/>
          <w:b/>
          <w:sz w:val="22"/>
          <w:szCs w:val="22"/>
          <w:lang w:val="hr-HR"/>
        </w:rPr>
      </w:pPr>
    </w:p>
    <w:sectPr w:rsidR="00594097" w:rsidRPr="00321D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5D44" w14:textId="77777777" w:rsidR="00CA4EAD" w:rsidRDefault="00CA4EAD" w:rsidP="00594097">
      <w:pPr>
        <w:spacing w:after="0"/>
      </w:pPr>
      <w:r>
        <w:separator/>
      </w:r>
    </w:p>
  </w:endnote>
  <w:endnote w:type="continuationSeparator" w:id="0">
    <w:p w14:paraId="5EDEAE97" w14:textId="77777777" w:rsidR="00CA4EAD" w:rsidRDefault="00CA4EAD" w:rsidP="005940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B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144695"/>
      <w:docPartObj>
        <w:docPartGallery w:val="Page Numbers (Bottom of Page)"/>
        <w:docPartUnique/>
      </w:docPartObj>
    </w:sdtPr>
    <w:sdtEndPr>
      <w:rPr>
        <w:noProof/>
      </w:rPr>
    </w:sdtEndPr>
    <w:sdtContent>
      <w:p w14:paraId="5664AF8A" w14:textId="77777777" w:rsidR="00C2425D" w:rsidRDefault="00C2425D">
        <w:pPr>
          <w:pStyle w:val="Podnoje"/>
          <w:jc w:val="center"/>
        </w:pPr>
        <w:r>
          <w:fldChar w:fldCharType="begin"/>
        </w:r>
        <w:r>
          <w:instrText xml:space="preserve"> PAGE   \* MERGEFORMAT </w:instrText>
        </w:r>
        <w:r>
          <w:fldChar w:fldCharType="separate"/>
        </w:r>
        <w:r w:rsidR="007349CF">
          <w:rPr>
            <w:noProof/>
          </w:rPr>
          <w:t>1</w:t>
        </w:r>
        <w:r>
          <w:rPr>
            <w:noProof/>
          </w:rPr>
          <w:fldChar w:fldCharType="end"/>
        </w:r>
      </w:p>
    </w:sdtContent>
  </w:sdt>
  <w:p w14:paraId="6FAF18DF" w14:textId="00CF2D72" w:rsidR="00C2425D" w:rsidRDefault="00D817E9" w:rsidP="009562F3">
    <w:pPr>
      <w:pStyle w:val="Podnoje"/>
      <w:jc w:val="center"/>
    </w:pPr>
    <w:r>
      <w:rPr>
        <w:noProof/>
      </w:rPr>
      <w:drawing>
        <wp:inline distT="0" distB="0" distL="0" distR="0" wp14:anchorId="5B52CD08" wp14:editId="483F3DCE">
          <wp:extent cx="5753100" cy="890593"/>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500" cy="89731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E97A" w14:textId="77777777" w:rsidR="00CA4EAD" w:rsidRDefault="00CA4EAD" w:rsidP="00594097">
      <w:pPr>
        <w:spacing w:after="0"/>
      </w:pPr>
      <w:r>
        <w:separator/>
      </w:r>
    </w:p>
  </w:footnote>
  <w:footnote w:type="continuationSeparator" w:id="0">
    <w:p w14:paraId="0D0941C7" w14:textId="77777777" w:rsidR="00CA4EAD" w:rsidRDefault="00CA4EAD" w:rsidP="00594097">
      <w:pPr>
        <w:spacing w:after="0"/>
      </w:pPr>
      <w:r>
        <w:continuationSeparator/>
      </w:r>
    </w:p>
  </w:footnote>
  <w:footnote w:id="1">
    <w:p w14:paraId="0E7BE8C4" w14:textId="45B675EF" w:rsidR="00595C7D" w:rsidRPr="00595C7D" w:rsidRDefault="00595C7D">
      <w:pPr>
        <w:pStyle w:val="Tekstfusnote"/>
        <w:rPr>
          <w:lang w:val="hr-HR"/>
        </w:rPr>
      </w:pPr>
      <w:r w:rsidRPr="00595C7D">
        <w:rPr>
          <w:rStyle w:val="Referencafusnote"/>
          <w:lang w:val="hr-HR"/>
        </w:rPr>
        <w:footnoteRef/>
      </w:r>
      <w:r w:rsidRPr="00595C7D">
        <w:rPr>
          <w:lang w:val="hr-HR"/>
        </w:rPr>
        <w:t xml:space="preserve"> *) SL C 316, 27.11.1995., str. 48. (**) SL C 195, 25.6.1997., str. 1. (***) Okvirna odluka Vijeća 2003/568/PUP od 22. srpnja 2003. o borbi protiv korupcije u privatnom sektoru (SL L 192, 31.7.2003., str. 54.). (****) Okvirna odluka Vijeća 2008/841/PUP od 24. listopada 2008. o borbi protiv organiziranog kriminala (SL L 300, 11.11.2008., str. 42.). (*****) Direktiva 2005/60/EZ Europskog parlamenta i Vijeća od 26. listopada 2005. o </w:t>
      </w:r>
      <w:proofErr w:type="spellStart"/>
      <w:r w:rsidRPr="00595C7D">
        <w:rPr>
          <w:lang w:val="hr-HR"/>
        </w:rPr>
        <w:t>spreĀavanju</w:t>
      </w:r>
      <w:proofErr w:type="spellEnd"/>
      <w:r w:rsidRPr="00595C7D">
        <w:rPr>
          <w:lang w:val="hr-HR"/>
        </w:rPr>
        <w:t xml:space="preserve"> korištenja financijskog sustava u svrhu pranja novca i financiranja terorizma (SL L 309, 25.11.2005., str. 15.). (******) Okvirna odluka Vijeća 2002/475/PUP od 13. lipnja 2002. o suzbijanju terorizma (SL L 164, 22.6.2002., str. 3.). (*******) Direktiva 2011/36/EU Europskog parlamenta i Vijeća od 5. travnja 2011. o </w:t>
      </w:r>
      <w:proofErr w:type="spellStart"/>
      <w:r w:rsidRPr="00595C7D">
        <w:rPr>
          <w:lang w:val="hr-HR"/>
        </w:rPr>
        <w:t>spreĀavanju</w:t>
      </w:r>
      <w:proofErr w:type="spellEnd"/>
      <w:r w:rsidRPr="00595C7D">
        <w:rPr>
          <w:lang w:val="hr-HR"/>
        </w:rPr>
        <w:t xml:space="preserve"> i suzbijanju trgovanja ljudima i zaštiti njegovih žrtava te o zamjeni Okvirne odluke Vijeća 2002/629/PUP (SL L 101, 15.4.2011., str. 1.). (********) Uredba Vijeća (EZ, Euratom) br. 2988/95 od 18. prosinca 1995. o zaštiti financijskih interesa Europskih zajednica (SL L 312, 23.12.1995., str. 1.).”;</w:t>
      </w:r>
    </w:p>
  </w:footnote>
  <w:footnote w:id="2">
    <w:p w14:paraId="6EFDF5D2" w14:textId="519402CF" w:rsidR="00F400EE" w:rsidRPr="00F400EE" w:rsidRDefault="00F400EE" w:rsidP="00450C46">
      <w:pPr>
        <w:pStyle w:val="Tekstfusnote"/>
        <w:rPr>
          <w:lang w:val="hr-HR"/>
        </w:rPr>
      </w:pPr>
      <w:r w:rsidRPr="00F400EE">
        <w:rPr>
          <w:rStyle w:val="Referencafusnote"/>
          <w:lang w:val="hr-HR"/>
        </w:rPr>
        <w:footnoteRef/>
      </w:r>
      <w:r w:rsidRPr="00F400EE">
        <w:rPr>
          <w:lang w:val="hr-HR"/>
        </w:rPr>
        <w:t xml:space="preserve"> Razvrstavanje poduzetnika na mikro, male, srednje i velike na temelju Zakona o računovodstvu (NN broj 78/15, 134/15</w:t>
      </w:r>
      <w:r w:rsidR="00F741F2">
        <w:rPr>
          <w:lang w:val="hr-HR"/>
        </w:rPr>
        <w:t>; 116/2018</w:t>
      </w:r>
      <w:r w:rsidRPr="00F400EE">
        <w:rPr>
          <w:lang w:val="hr-H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8162" w14:textId="4152ADCF" w:rsidR="00D817E9" w:rsidRDefault="00D817E9" w:rsidP="00D817E9">
    <w:pPr>
      <w:pStyle w:val="Zaglavlje"/>
      <w:jc w:val="left"/>
    </w:pPr>
    <w:r>
      <w:rPr>
        <w:noProof/>
      </w:rPr>
      <w:drawing>
        <wp:inline distT="0" distB="0" distL="0" distR="0" wp14:anchorId="06B63BD1" wp14:editId="01EBD41B">
          <wp:extent cx="2426335" cy="5422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335" cy="542290"/>
                  </a:xfrm>
                  <a:prstGeom prst="rect">
                    <a:avLst/>
                  </a:prstGeom>
                  <a:noFill/>
                </pic:spPr>
              </pic:pic>
            </a:graphicData>
          </a:graphic>
        </wp:inline>
      </w:drawing>
    </w:r>
    <w:r>
      <w:t xml:space="preserve">                                                                </w:t>
    </w:r>
    <w:r>
      <w:rPr>
        <w:noProof/>
      </w:rPr>
      <w:drawing>
        <wp:inline distT="0" distB="0" distL="0" distR="0" wp14:anchorId="0AFFA78F" wp14:editId="3E7E56A4">
          <wp:extent cx="1057500" cy="627380"/>
          <wp:effectExtent l="0" t="0" r="952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334" cy="63202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AEE446"/>
    <w:lvl w:ilvl="0">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1">
      <w:start w:val="1"/>
      <w:numFmt w:val="decimal"/>
      <w:lvlText w:val="(%2)"/>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2">
      <w:start w:val="1"/>
      <w:numFmt w:val="decimal"/>
      <w:lvlText w:val="(%3)"/>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3">
      <w:start w:val="15"/>
      <w:numFmt w:val="decimal"/>
      <w:lvlText w:val="(%4)"/>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4">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6"/>
        <w:szCs w:val="16"/>
        <w:u w:val="none"/>
      </w:rPr>
    </w:lvl>
    <w:lvl w:ilvl="5">
      <w:start w:val="1"/>
      <w:numFmt w:val="lowerLetter"/>
      <w:lvlText w:val="(%6)"/>
      <w:lvlJc w:val="left"/>
      <w:rPr>
        <w:rFonts w:ascii="Palatino Linotype" w:hAnsi="Palatino Linotype" w:cs="Palatino Linotype"/>
        <w:b w:val="0"/>
        <w:bCs w:val="0"/>
        <w:i w:val="0"/>
        <w:iCs w:val="0"/>
        <w:smallCaps w:val="0"/>
        <w:strike w:val="0"/>
        <w:color w:val="000000"/>
        <w:spacing w:val="0"/>
        <w:w w:val="100"/>
        <w:position w:val="0"/>
        <w:sz w:val="16"/>
        <w:szCs w:val="16"/>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8">
      <w:start w:val="1"/>
      <w:numFmt w:val="lowerLetter"/>
      <w:lvlText w:val="(%9)"/>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95D813BC"/>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3">
      <w:start w:val="1"/>
      <w:numFmt w:val="lowerLetter"/>
      <w:lvlText w:val="(%4)"/>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4">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5">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6">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7">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lvl w:ilvl="8">
      <w:start w:val="1"/>
      <w:numFmt w:val="decimal"/>
      <w:lvlText w:val="%5."/>
      <w:lvlJc w:val="left"/>
      <w:rPr>
        <w:rFonts w:ascii="Palatino Linotype" w:hAnsi="Palatino Linotype" w:cs="Palatino Linotype"/>
        <w:b w:val="0"/>
        <w:bCs w:val="0"/>
        <w:i w:val="0"/>
        <w:iCs w:val="0"/>
        <w:smallCaps w:val="0"/>
        <w:strike w:val="0"/>
        <w:color w:val="000000"/>
        <w:spacing w:val="0"/>
        <w:w w:val="100"/>
        <w:position w:val="0"/>
        <w:sz w:val="14"/>
        <w:szCs w:val="14"/>
        <w:u w:val="none"/>
      </w:rPr>
    </w:lvl>
  </w:abstractNum>
  <w:abstractNum w:abstractNumId="2" w15:restartNumberingAfterBreak="0">
    <w:nsid w:val="02A93DE0"/>
    <w:multiLevelType w:val="hybridMultilevel"/>
    <w:tmpl w:val="53F8D650"/>
    <w:lvl w:ilvl="0" w:tplc="67F477A2">
      <w:start w:val="1"/>
      <w:numFmt w:val="decimal"/>
      <w:pStyle w:val="Stavci"/>
      <w:lvlText w:val="(%1)"/>
      <w:lvlJc w:val="left"/>
      <w:pPr>
        <w:ind w:left="360" w:hanging="360"/>
      </w:pPr>
      <w:rPr>
        <w:rFonts w:hint="default"/>
        <w:b w:val="0"/>
      </w:rPr>
    </w:lvl>
    <w:lvl w:ilvl="1" w:tplc="B144F83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5046E0"/>
    <w:multiLevelType w:val="multilevel"/>
    <w:tmpl w:val="20885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D4763"/>
    <w:multiLevelType w:val="hybridMultilevel"/>
    <w:tmpl w:val="B23E870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0E515F"/>
    <w:multiLevelType w:val="hybridMultilevel"/>
    <w:tmpl w:val="C58C26A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C03AF1"/>
    <w:multiLevelType w:val="hybridMultilevel"/>
    <w:tmpl w:val="99444BF0"/>
    <w:lvl w:ilvl="0" w:tplc="44502B2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985137"/>
    <w:multiLevelType w:val="hybridMultilevel"/>
    <w:tmpl w:val="F58C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3513C"/>
    <w:multiLevelType w:val="hybridMultilevel"/>
    <w:tmpl w:val="469A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80B81"/>
    <w:multiLevelType w:val="hybridMultilevel"/>
    <w:tmpl w:val="FEDA74E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3FB95CA6"/>
    <w:multiLevelType w:val="hybridMultilevel"/>
    <w:tmpl w:val="0A78F3A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154F82"/>
    <w:multiLevelType w:val="hybridMultilevel"/>
    <w:tmpl w:val="04FA6C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3E6C1E"/>
    <w:multiLevelType w:val="multilevel"/>
    <w:tmpl w:val="0E2AAF64"/>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3"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A73059"/>
    <w:multiLevelType w:val="hybridMultilevel"/>
    <w:tmpl w:val="122EE2E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58B972F5"/>
    <w:multiLevelType w:val="multilevel"/>
    <w:tmpl w:val="CECE5C3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B126BE"/>
    <w:multiLevelType w:val="multilevel"/>
    <w:tmpl w:val="5E5EB75A"/>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7" w15:restartNumberingAfterBreak="0">
    <w:nsid w:val="5B022D25"/>
    <w:multiLevelType w:val="hybridMultilevel"/>
    <w:tmpl w:val="374240BC"/>
    <w:lvl w:ilvl="0" w:tplc="12A0EDD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0D334C"/>
    <w:multiLevelType w:val="hybridMultilevel"/>
    <w:tmpl w:val="3274E7A6"/>
    <w:lvl w:ilvl="0" w:tplc="1CD8CE12">
      <w:start w:val="2"/>
      <w:numFmt w:val="bullet"/>
      <w:lvlText w:val="-"/>
      <w:lvlJc w:val="left"/>
      <w:pPr>
        <w:ind w:left="720" w:hanging="360"/>
      </w:pPr>
      <w:rPr>
        <w:rFonts w:ascii="Futura Lt BT" w:eastAsiaTheme="minorHAnsi" w:hAnsi="Futura Lt BT" w:cs="Futura Lt BT"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462929"/>
    <w:multiLevelType w:val="hybridMultilevel"/>
    <w:tmpl w:val="3EB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56185"/>
    <w:multiLevelType w:val="hybridMultilevel"/>
    <w:tmpl w:val="F1B8C61A"/>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6DBB6E24"/>
    <w:multiLevelType w:val="hybridMultilevel"/>
    <w:tmpl w:val="B234EC18"/>
    <w:lvl w:ilvl="0" w:tplc="12A0EDD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B331D58"/>
    <w:multiLevelType w:val="multilevel"/>
    <w:tmpl w:val="CAC6C7A8"/>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num w:numId="1">
    <w:abstractNumId w:val="13"/>
  </w:num>
  <w:num w:numId="2">
    <w:abstractNumId w:val="9"/>
  </w:num>
  <w:num w:numId="3">
    <w:abstractNumId w:val="19"/>
  </w:num>
  <w:num w:numId="4">
    <w:abstractNumId w:val="8"/>
  </w:num>
  <w:num w:numId="5">
    <w:abstractNumId w:val="14"/>
  </w:num>
  <w:num w:numId="6">
    <w:abstractNumId w:val="7"/>
  </w:num>
  <w:num w:numId="7">
    <w:abstractNumId w:val="22"/>
  </w:num>
  <w:num w:numId="8">
    <w:abstractNumId w:val="16"/>
  </w:num>
  <w:num w:numId="9">
    <w:abstractNumId w:val="0"/>
  </w:num>
  <w:num w:numId="10">
    <w:abstractNumId w:val="1"/>
  </w:num>
  <w:num w:numId="11">
    <w:abstractNumId w:val="4"/>
  </w:num>
  <w:num w:numId="12">
    <w:abstractNumId w:val="10"/>
  </w:num>
  <w:num w:numId="13">
    <w:abstractNumId w:val="2"/>
  </w:num>
  <w:num w:numId="14">
    <w:abstractNumId w:val="5"/>
  </w:num>
  <w:num w:numId="15">
    <w:abstractNumId w:val="3"/>
  </w:num>
  <w:num w:numId="16">
    <w:abstractNumId w:val="12"/>
  </w:num>
  <w:num w:numId="17">
    <w:abstractNumId w:val="6"/>
  </w:num>
  <w:num w:numId="18">
    <w:abstractNumId w:val="15"/>
  </w:num>
  <w:num w:numId="19">
    <w:abstractNumId w:val="18"/>
  </w:num>
  <w:num w:numId="20">
    <w:abstractNumId w:val="20"/>
  </w:num>
  <w:num w:numId="21">
    <w:abstractNumId w:val="21"/>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B4"/>
    <w:rsid w:val="00002010"/>
    <w:rsid w:val="00003F0F"/>
    <w:rsid w:val="00004C5E"/>
    <w:rsid w:val="00011E67"/>
    <w:rsid w:val="00012049"/>
    <w:rsid w:val="00014074"/>
    <w:rsid w:val="0002516A"/>
    <w:rsid w:val="00027EE4"/>
    <w:rsid w:val="00031040"/>
    <w:rsid w:val="00031B94"/>
    <w:rsid w:val="00032EC2"/>
    <w:rsid w:val="00041148"/>
    <w:rsid w:val="000416EA"/>
    <w:rsid w:val="000419B4"/>
    <w:rsid w:val="0004201D"/>
    <w:rsid w:val="00044C38"/>
    <w:rsid w:val="000460DE"/>
    <w:rsid w:val="00047991"/>
    <w:rsid w:val="00061195"/>
    <w:rsid w:val="00061D12"/>
    <w:rsid w:val="00062CB1"/>
    <w:rsid w:val="0006465C"/>
    <w:rsid w:val="00066691"/>
    <w:rsid w:val="0007205B"/>
    <w:rsid w:val="00072C3A"/>
    <w:rsid w:val="00073B3D"/>
    <w:rsid w:val="00073EFD"/>
    <w:rsid w:val="0008093E"/>
    <w:rsid w:val="000815D9"/>
    <w:rsid w:val="00084689"/>
    <w:rsid w:val="00087E68"/>
    <w:rsid w:val="00096FEF"/>
    <w:rsid w:val="000A2D09"/>
    <w:rsid w:val="000A5C2A"/>
    <w:rsid w:val="000A5C58"/>
    <w:rsid w:val="000A6B22"/>
    <w:rsid w:val="000B0C42"/>
    <w:rsid w:val="000B2944"/>
    <w:rsid w:val="000B2977"/>
    <w:rsid w:val="000B2CBD"/>
    <w:rsid w:val="000B467B"/>
    <w:rsid w:val="000B4F45"/>
    <w:rsid w:val="000B5CBC"/>
    <w:rsid w:val="000B6124"/>
    <w:rsid w:val="000B683D"/>
    <w:rsid w:val="000B72EF"/>
    <w:rsid w:val="000C07CC"/>
    <w:rsid w:val="000C0E9A"/>
    <w:rsid w:val="000C2281"/>
    <w:rsid w:val="000C42B1"/>
    <w:rsid w:val="000C4F13"/>
    <w:rsid w:val="000D0966"/>
    <w:rsid w:val="000D0C5E"/>
    <w:rsid w:val="000D1299"/>
    <w:rsid w:val="000D2EC3"/>
    <w:rsid w:val="000D357B"/>
    <w:rsid w:val="000D5999"/>
    <w:rsid w:val="000E07C2"/>
    <w:rsid w:val="000F083D"/>
    <w:rsid w:val="000F0DE9"/>
    <w:rsid w:val="000F11D4"/>
    <w:rsid w:val="000F1C0C"/>
    <w:rsid w:val="000F387E"/>
    <w:rsid w:val="000F3895"/>
    <w:rsid w:val="000F3B01"/>
    <w:rsid w:val="000F43B0"/>
    <w:rsid w:val="00106FC7"/>
    <w:rsid w:val="001132D9"/>
    <w:rsid w:val="00117E82"/>
    <w:rsid w:val="00126345"/>
    <w:rsid w:val="00130F41"/>
    <w:rsid w:val="00133118"/>
    <w:rsid w:val="0013584F"/>
    <w:rsid w:val="001378B7"/>
    <w:rsid w:val="00137E0E"/>
    <w:rsid w:val="00137E84"/>
    <w:rsid w:val="001519B8"/>
    <w:rsid w:val="00152097"/>
    <w:rsid w:val="00153427"/>
    <w:rsid w:val="0015639B"/>
    <w:rsid w:val="00160713"/>
    <w:rsid w:val="00161CA6"/>
    <w:rsid w:val="00162502"/>
    <w:rsid w:val="001626CA"/>
    <w:rsid w:val="00162994"/>
    <w:rsid w:val="001630FD"/>
    <w:rsid w:val="001709F2"/>
    <w:rsid w:val="00171E5F"/>
    <w:rsid w:val="0017318B"/>
    <w:rsid w:val="0017563B"/>
    <w:rsid w:val="00180516"/>
    <w:rsid w:val="00181FE1"/>
    <w:rsid w:val="001833B0"/>
    <w:rsid w:val="001908AF"/>
    <w:rsid w:val="0019318E"/>
    <w:rsid w:val="001949A0"/>
    <w:rsid w:val="00195073"/>
    <w:rsid w:val="0019565E"/>
    <w:rsid w:val="00195991"/>
    <w:rsid w:val="0019684C"/>
    <w:rsid w:val="001A35EC"/>
    <w:rsid w:val="001B122F"/>
    <w:rsid w:val="001B4C0A"/>
    <w:rsid w:val="001B6BFD"/>
    <w:rsid w:val="001B7EF9"/>
    <w:rsid w:val="001C4443"/>
    <w:rsid w:val="001C68D7"/>
    <w:rsid w:val="001D72B9"/>
    <w:rsid w:val="001E0C64"/>
    <w:rsid w:val="001E1304"/>
    <w:rsid w:val="001E3CE1"/>
    <w:rsid w:val="001E5500"/>
    <w:rsid w:val="001E754D"/>
    <w:rsid w:val="001E768E"/>
    <w:rsid w:val="001F14BB"/>
    <w:rsid w:val="001F57A7"/>
    <w:rsid w:val="00202A9A"/>
    <w:rsid w:val="00207A8A"/>
    <w:rsid w:val="0021274D"/>
    <w:rsid w:val="002134D8"/>
    <w:rsid w:val="00214FDE"/>
    <w:rsid w:val="002167B3"/>
    <w:rsid w:val="002212EC"/>
    <w:rsid w:val="00223031"/>
    <w:rsid w:val="00223068"/>
    <w:rsid w:val="002240AE"/>
    <w:rsid w:val="0023384C"/>
    <w:rsid w:val="002369B9"/>
    <w:rsid w:val="002410D6"/>
    <w:rsid w:val="00241E18"/>
    <w:rsid w:val="0025195C"/>
    <w:rsid w:val="002519F6"/>
    <w:rsid w:val="0025376D"/>
    <w:rsid w:val="002545C5"/>
    <w:rsid w:val="00257917"/>
    <w:rsid w:val="00261571"/>
    <w:rsid w:val="002642E6"/>
    <w:rsid w:val="002650E1"/>
    <w:rsid w:val="00267AF5"/>
    <w:rsid w:val="00274FC5"/>
    <w:rsid w:val="00277646"/>
    <w:rsid w:val="00282204"/>
    <w:rsid w:val="00283FCF"/>
    <w:rsid w:val="00284BB3"/>
    <w:rsid w:val="00292518"/>
    <w:rsid w:val="0029612B"/>
    <w:rsid w:val="002A4997"/>
    <w:rsid w:val="002A7F66"/>
    <w:rsid w:val="002B38BE"/>
    <w:rsid w:val="002B3F3B"/>
    <w:rsid w:val="002B5BD2"/>
    <w:rsid w:val="002D1CA0"/>
    <w:rsid w:val="002D2B3D"/>
    <w:rsid w:val="002D4612"/>
    <w:rsid w:val="002D4666"/>
    <w:rsid w:val="002D5E49"/>
    <w:rsid w:val="002E03BC"/>
    <w:rsid w:val="002E16A3"/>
    <w:rsid w:val="002E24CD"/>
    <w:rsid w:val="002E3F61"/>
    <w:rsid w:val="002E68E9"/>
    <w:rsid w:val="002F0506"/>
    <w:rsid w:val="002F42FE"/>
    <w:rsid w:val="002F6106"/>
    <w:rsid w:val="00300688"/>
    <w:rsid w:val="003068FE"/>
    <w:rsid w:val="00307A27"/>
    <w:rsid w:val="00313121"/>
    <w:rsid w:val="00317F8D"/>
    <w:rsid w:val="0032011E"/>
    <w:rsid w:val="003214A4"/>
    <w:rsid w:val="00321D04"/>
    <w:rsid w:val="00324B18"/>
    <w:rsid w:val="003316AA"/>
    <w:rsid w:val="00331851"/>
    <w:rsid w:val="003353B6"/>
    <w:rsid w:val="0033625E"/>
    <w:rsid w:val="003423CF"/>
    <w:rsid w:val="00345A55"/>
    <w:rsid w:val="003547F2"/>
    <w:rsid w:val="00360D3E"/>
    <w:rsid w:val="0036179D"/>
    <w:rsid w:val="00362929"/>
    <w:rsid w:val="00362F06"/>
    <w:rsid w:val="003808DE"/>
    <w:rsid w:val="003831B5"/>
    <w:rsid w:val="00390193"/>
    <w:rsid w:val="003A2FA8"/>
    <w:rsid w:val="003A40C1"/>
    <w:rsid w:val="003A4E18"/>
    <w:rsid w:val="003B09A4"/>
    <w:rsid w:val="003B46CD"/>
    <w:rsid w:val="003B6651"/>
    <w:rsid w:val="003B7279"/>
    <w:rsid w:val="003C2DBA"/>
    <w:rsid w:val="003D00B8"/>
    <w:rsid w:val="003D0F1D"/>
    <w:rsid w:val="003D0F27"/>
    <w:rsid w:val="003D0FE5"/>
    <w:rsid w:val="003D2280"/>
    <w:rsid w:val="003D5D5F"/>
    <w:rsid w:val="003D5E9A"/>
    <w:rsid w:val="003E23B5"/>
    <w:rsid w:val="003E3373"/>
    <w:rsid w:val="003F03AF"/>
    <w:rsid w:val="003F1A83"/>
    <w:rsid w:val="003F3AD6"/>
    <w:rsid w:val="003F4F0B"/>
    <w:rsid w:val="00401DC0"/>
    <w:rsid w:val="00404C09"/>
    <w:rsid w:val="004075C1"/>
    <w:rsid w:val="004135CC"/>
    <w:rsid w:val="004150C5"/>
    <w:rsid w:val="0042620D"/>
    <w:rsid w:val="0042684E"/>
    <w:rsid w:val="004316F8"/>
    <w:rsid w:val="004364A5"/>
    <w:rsid w:val="004371BA"/>
    <w:rsid w:val="00437F5C"/>
    <w:rsid w:val="004404E0"/>
    <w:rsid w:val="00442803"/>
    <w:rsid w:val="00447695"/>
    <w:rsid w:val="00454482"/>
    <w:rsid w:val="00455224"/>
    <w:rsid w:val="004553E9"/>
    <w:rsid w:val="00456592"/>
    <w:rsid w:val="00470DAA"/>
    <w:rsid w:val="00473280"/>
    <w:rsid w:val="00473C45"/>
    <w:rsid w:val="00487CB3"/>
    <w:rsid w:val="00490AC7"/>
    <w:rsid w:val="00490F60"/>
    <w:rsid w:val="00491A3A"/>
    <w:rsid w:val="0049263C"/>
    <w:rsid w:val="00492F45"/>
    <w:rsid w:val="00493FA5"/>
    <w:rsid w:val="00493FC9"/>
    <w:rsid w:val="0049503D"/>
    <w:rsid w:val="004970B2"/>
    <w:rsid w:val="00497848"/>
    <w:rsid w:val="004A16C3"/>
    <w:rsid w:val="004A1BAE"/>
    <w:rsid w:val="004A7CDA"/>
    <w:rsid w:val="004A7F9F"/>
    <w:rsid w:val="004B2AB3"/>
    <w:rsid w:val="004B2C8C"/>
    <w:rsid w:val="004C29D6"/>
    <w:rsid w:val="004C37EB"/>
    <w:rsid w:val="004C7668"/>
    <w:rsid w:val="004D722A"/>
    <w:rsid w:val="004E55B7"/>
    <w:rsid w:val="004E699E"/>
    <w:rsid w:val="004F22FC"/>
    <w:rsid w:val="004F4387"/>
    <w:rsid w:val="004F4F9E"/>
    <w:rsid w:val="004F6199"/>
    <w:rsid w:val="004F64D9"/>
    <w:rsid w:val="00500718"/>
    <w:rsid w:val="00501D38"/>
    <w:rsid w:val="00502802"/>
    <w:rsid w:val="005113E3"/>
    <w:rsid w:val="00520564"/>
    <w:rsid w:val="00520C44"/>
    <w:rsid w:val="005250DB"/>
    <w:rsid w:val="00525AF4"/>
    <w:rsid w:val="005265A0"/>
    <w:rsid w:val="005306FF"/>
    <w:rsid w:val="00533D37"/>
    <w:rsid w:val="00534EB4"/>
    <w:rsid w:val="00537026"/>
    <w:rsid w:val="00537066"/>
    <w:rsid w:val="00537185"/>
    <w:rsid w:val="0053770C"/>
    <w:rsid w:val="00545188"/>
    <w:rsid w:val="00545262"/>
    <w:rsid w:val="00545EF3"/>
    <w:rsid w:val="00545FAD"/>
    <w:rsid w:val="005541E2"/>
    <w:rsid w:val="0056291D"/>
    <w:rsid w:val="0056711B"/>
    <w:rsid w:val="00570D19"/>
    <w:rsid w:val="00570EA2"/>
    <w:rsid w:val="00572D18"/>
    <w:rsid w:val="00573255"/>
    <w:rsid w:val="00573834"/>
    <w:rsid w:val="00575456"/>
    <w:rsid w:val="00576BB4"/>
    <w:rsid w:val="00576F78"/>
    <w:rsid w:val="00580543"/>
    <w:rsid w:val="00582ABC"/>
    <w:rsid w:val="0058754E"/>
    <w:rsid w:val="005875A9"/>
    <w:rsid w:val="00591CF2"/>
    <w:rsid w:val="005930AC"/>
    <w:rsid w:val="00594097"/>
    <w:rsid w:val="00595C7D"/>
    <w:rsid w:val="00596931"/>
    <w:rsid w:val="005A0381"/>
    <w:rsid w:val="005A0966"/>
    <w:rsid w:val="005A2137"/>
    <w:rsid w:val="005B15CF"/>
    <w:rsid w:val="005C0965"/>
    <w:rsid w:val="005C26F0"/>
    <w:rsid w:val="005D0135"/>
    <w:rsid w:val="005D0232"/>
    <w:rsid w:val="005D1DB8"/>
    <w:rsid w:val="005D3534"/>
    <w:rsid w:val="005D37DB"/>
    <w:rsid w:val="005D6210"/>
    <w:rsid w:val="005E0721"/>
    <w:rsid w:val="005E0EE5"/>
    <w:rsid w:val="005E542E"/>
    <w:rsid w:val="005E6C13"/>
    <w:rsid w:val="005F038E"/>
    <w:rsid w:val="005F04EF"/>
    <w:rsid w:val="005F058A"/>
    <w:rsid w:val="005F091F"/>
    <w:rsid w:val="005F43CE"/>
    <w:rsid w:val="005F5703"/>
    <w:rsid w:val="005F65A9"/>
    <w:rsid w:val="00600521"/>
    <w:rsid w:val="006071A1"/>
    <w:rsid w:val="00610C96"/>
    <w:rsid w:val="00612143"/>
    <w:rsid w:val="006152AC"/>
    <w:rsid w:val="006155D6"/>
    <w:rsid w:val="0062256C"/>
    <w:rsid w:val="00623CFA"/>
    <w:rsid w:val="00624428"/>
    <w:rsid w:val="00632609"/>
    <w:rsid w:val="0063280F"/>
    <w:rsid w:val="006335D1"/>
    <w:rsid w:val="00633701"/>
    <w:rsid w:val="00640BB7"/>
    <w:rsid w:val="00640F4D"/>
    <w:rsid w:val="0064234D"/>
    <w:rsid w:val="00644520"/>
    <w:rsid w:val="00646A44"/>
    <w:rsid w:val="006565BF"/>
    <w:rsid w:val="00656737"/>
    <w:rsid w:val="0066331C"/>
    <w:rsid w:val="00663ECE"/>
    <w:rsid w:val="00664FAC"/>
    <w:rsid w:val="006656CB"/>
    <w:rsid w:val="00670614"/>
    <w:rsid w:val="00671077"/>
    <w:rsid w:val="00671E58"/>
    <w:rsid w:val="00672250"/>
    <w:rsid w:val="006734D7"/>
    <w:rsid w:val="0067411A"/>
    <w:rsid w:val="0067672F"/>
    <w:rsid w:val="006770C0"/>
    <w:rsid w:val="0068367C"/>
    <w:rsid w:val="00685769"/>
    <w:rsid w:val="006865E4"/>
    <w:rsid w:val="00687164"/>
    <w:rsid w:val="00687607"/>
    <w:rsid w:val="006916D2"/>
    <w:rsid w:val="006A02F0"/>
    <w:rsid w:val="006A3FD9"/>
    <w:rsid w:val="006A44BC"/>
    <w:rsid w:val="006A58F9"/>
    <w:rsid w:val="006A61EF"/>
    <w:rsid w:val="006A6F3C"/>
    <w:rsid w:val="006B1A16"/>
    <w:rsid w:val="006B6703"/>
    <w:rsid w:val="006B6D9E"/>
    <w:rsid w:val="006B6E1A"/>
    <w:rsid w:val="006C19F1"/>
    <w:rsid w:val="006C1AB7"/>
    <w:rsid w:val="006C2DBF"/>
    <w:rsid w:val="006C3A61"/>
    <w:rsid w:val="006C3F64"/>
    <w:rsid w:val="006C6D72"/>
    <w:rsid w:val="006C6F77"/>
    <w:rsid w:val="006D2E4B"/>
    <w:rsid w:val="006D2EC0"/>
    <w:rsid w:val="006D6EC6"/>
    <w:rsid w:val="006E1BA6"/>
    <w:rsid w:val="006F5D2A"/>
    <w:rsid w:val="006F5EF5"/>
    <w:rsid w:val="00703751"/>
    <w:rsid w:val="0070386B"/>
    <w:rsid w:val="007041D6"/>
    <w:rsid w:val="00705B30"/>
    <w:rsid w:val="00706ADE"/>
    <w:rsid w:val="00706B83"/>
    <w:rsid w:val="00711835"/>
    <w:rsid w:val="00712CA0"/>
    <w:rsid w:val="007140D7"/>
    <w:rsid w:val="0071540B"/>
    <w:rsid w:val="007162FF"/>
    <w:rsid w:val="00717FF3"/>
    <w:rsid w:val="00721DD0"/>
    <w:rsid w:val="007349CF"/>
    <w:rsid w:val="00735288"/>
    <w:rsid w:val="0073639D"/>
    <w:rsid w:val="00737DE7"/>
    <w:rsid w:val="0074103B"/>
    <w:rsid w:val="007419DB"/>
    <w:rsid w:val="0074284E"/>
    <w:rsid w:val="00745BFF"/>
    <w:rsid w:val="007467E5"/>
    <w:rsid w:val="00746931"/>
    <w:rsid w:val="00746BA0"/>
    <w:rsid w:val="0075719B"/>
    <w:rsid w:val="007604E2"/>
    <w:rsid w:val="00763F05"/>
    <w:rsid w:val="007745BA"/>
    <w:rsid w:val="00775AA1"/>
    <w:rsid w:val="00781D14"/>
    <w:rsid w:val="0078291E"/>
    <w:rsid w:val="00783EA4"/>
    <w:rsid w:val="007907FA"/>
    <w:rsid w:val="00791553"/>
    <w:rsid w:val="00797367"/>
    <w:rsid w:val="007A01DD"/>
    <w:rsid w:val="007A0D6C"/>
    <w:rsid w:val="007A29D3"/>
    <w:rsid w:val="007A2F53"/>
    <w:rsid w:val="007A5CA1"/>
    <w:rsid w:val="007A6326"/>
    <w:rsid w:val="007A66F3"/>
    <w:rsid w:val="007A711A"/>
    <w:rsid w:val="007B018E"/>
    <w:rsid w:val="007B1287"/>
    <w:rsid w:val="007B430B"/>
    <w:rsid w:val="007D2960"/>
    <w:rsid w:val="007D45D6"/>
    <w:rsid w:val="007D63E2"/>
    <w:rsid w:val="007E5667"/>
    <w:rsid w:val="007E635C"/>
    <w:rsid w:val="007E6696"/>
    <w:rsid w:val="007E6862"/>
    <w:rsid w:val="007F2653"/>
    <w:rsid w:val="007F3867"/>
    <w:rsid w:val="007F3C97"/>
    <w:rsid w:val="007F706C"/>
    <w:rsid w:val="007F713E"/>
    <w:rsid w:val="007F7FF3"/>
    <w:rsid w:val="00803535"/>
    <w:rsid w:val="008037EF"/>
    <w:rsid w:val="00807769"/>
    <w:rsid w:val="008173D1"/>
    <w:rsid w:val="008220C5"/>
    <w:rsid w:val="00823CAB"/>
    <w:rsid w:val="008247C6"/>
    <w:rsid w:val="00827882"/>
    <w:rsid w:val="00827EEF"/>
    <w:rsid w:val="00830A62"/>
    <w:rsid w:val="0083193A"/>
    <w:rsid w:val="00834DD0"/>
    <w:rsid w:val="008435D0"/>
    <w:rsid w:val="00843796"/>
    <w:rsid w:val="00843A0D"/>
    <w:rsid w:val="00850378"/>
    <w:rsid w:val="00850ACD"/>
    <w:rsid w:val="00851289"/>
    <w:rsid w:val="008533A2"/>
    <w:rsid w:val="00861015"/>
    <w:rsid w:val="00863BA0"/>
    <w:rsid w:val="008646EF"/>
    <w:rsid w:val="00866BBE"/>
    <w:rsid w:val="0087216E"/>
    <w:rsid w:val="00876F1C"/>
    <w:rsid w:val="0088118B"/>
    <w:rsid w:val="00882A8E"/>
    <w:rsid w:val="008837B9"/>
    <w:rsid w:val="00886ACA"/>
    <w:rsid w:val="00894BC1"/>
    <w:rsid w:val="00895176"/>
    <w:rsid w:val="00896D7A"/>
    <w:rsid w:val="008A14C6"/>
    <w:rsid w:val="008A1C80"/>
    <w:rsid w:val="008B217C"/>
    <w:rsid w:val="008B3910"/>
    <w:rsid w:val="008D043C"/>
    <w:rsid w:val="008D34FD"/>
    <w:rsid w:val="008D366D"/>
    <w:rsid w:val="008D5657"/>
    <w:rsid w:val="008E5BEE"/>
    <w:rsid w:val="008E5EC7"/>
    <w:rsid w:val="008E621F"/>
    <w:rsid w:val="008E7FF4"/>
    <w:rsid w:val="00900164"/>
    <w:rsid w:val="009119FC"/>
    <w:rsid w:val="00912F3B"/>
    <w:rsid w:val="00913A0B"/>
    <w:rsid w:val="00913F77"/>
    <w:rsid w:val="009166A6"/>
    <w:rsid w:val="00920F45"/>
    <w:rsid w:val="00922AEF"/>
    <w:rsid w:val="00925295"/>
    <w:rsid w:val="00930332"/>
    <w:rsid w:val="00933F32"/>
    <w:rsid w:val="0093519F"/>
    <w:rsid w:val="009354E2"/>
    <w:rsid w:val="00942371"/>
    <w:rsid w:val="009436F3"/>
    <w:rsid w:val="009447F6"/>
    <w:rsid w:val="0094486B"/>
    <w:rsid w:val="009466F1"/>
    <w:rsid w:val="00952785"/>
    <w:rsid w:val="00953BAA"/>
    <w:rsid w:val="00953F09"/>
    <w:rsid w:val="00953F3F"/>
    <w:rsid w:val="009544E5"/>
    <w:rsid w:val="009562F3"/>
    <w:rsid w:val="009564D4"/>
    <w:rsid w:val="00960674"/>
    <w:rsid w:val="009614A6"/>
    <w:rsid w:val="00961A16"/>
    <w:rsid w:val="00962469"/>
    <w:rsid w:val="009658BE"/>
    <w:rsid w:val="00966447"/>
    <w:rsid w:val="009704E0"/>
    <w:rsid w:val="00972FF7"/>
    <w:rsid w:val="00973A03"/>
    <w:rsid w:val="009801F2"/>
    <w:rsid w:val="00983452"/>
    <w:rsid w:val="00983563"/>
    <w:rsid w:val="00984DFA"/>
    <w:rsid w:val="009853D0"/>
    <w:rsid w:val="00987920"/>
    <w:rsid w:val="009A27D1"/>
    <w:rsid w:val="009A461D"/>
    <w:rsid w:val="009A5453"/>
    <w:rsid w:val="009B011B"/>
    <w:rsid w:val="009B1343"/>
    <w:rsid w:val="009B36F4"/>
    <w:rsid w:val="009B6B85"/>
    <w:rsid w:val="009C0154"/>
    <w:rsid w:val="009C181A"/>
    <w:rsid w:val="009C37F4"/>
    <w:rsid w:val="009C6968"/>
    <w:rsid w:val="009D4676"/>
    <w:rsid w:val="009D4ED2"/>
    <w:rsid w:val="009E0764"/>
    <w:rsid w:val="009E2326"/>
    <w:rsid w:val="009E3706"/>
    <w:rsid w:val="009E68BC"/>
    <w:rsid w:val="009F03AF"/>
    <w:rsid w:val="009F0B8F"/>
    <w:rsid w:val="009F0FC2"/>
    <w:rsid w:val="009F34C1"/>
    <w:rsid w:val="009F364C"/>
    <w:rsid w:val="009F56D1"/>
    <w:rsid w:val="009F7780"/>
    <w:rsid w:val="00A000E8"/>
    <w:rsid w:val="00A000FF"/>
    <w:rsid w:val="00A051B3"/>
    <w:rsid w:val="00A05D7D"/>
    <w:rsid w:val="00A072AD"/>
    <w:rsid w:val="00A10561"/>
    <w:rsid w:val="00A11F08"/>
    <w:rsid w:val="00A11F9A"/>
    <w:rsid w:val="00A142C7"/>
    <w:rsid w:val="00A2230C"/>
    <w:rsid w:val="00A26DC4"/>
    <w:rsid w:val="00A274FA"/>
    <w:rsid w:val="00A36767"/>
    <w:rsid w:val="00A36ED1"/>
    <w:rsid w:val="00A378C9"/>
    <w:rsid w:val="00A424CB"/>
    <w:rsid w:val="00A45F42"/>
    <w:rsid w:val="00A46A49"/>
    <w:rsid w:val="00A47EDC"/>
    <w:rsid w:val="00A5262A"/>
    <w:rsid w:val="00A54625"/>
    <w:rsid w:val="00A62482"/>
    <w:rsid w:val="00A67651"/>
    <w:rsid w:val="00A700F6"/>
    <w:rsid w:val="00A7144F"/>
    <w:rsid w:val="00A72F8C"/>
    <w:rsid w:val="00A734AF"/>
    <w:rsid w:val="00A7558E"/>
    <w:rsid w:val="00A76F5B"/>
    <w:rsid w:val="00A77C07"/>
    <w:rsid w:val="00A80851"/>
    <w:rsid w:val="00A80CFA"/>
    <w:rsid w:val="00A81729"/>
    <w:rsid w:val="00A8253B"/>
    <w:rsid w:val="00A83C54"/>
    <w:rsid w:val="00A84F35"/>
    <w:rsid w:val="00A91826"/>
    <w:rsid w:val="00A93A26"/>
    <w:rsid w:val="00A97151"/>
    <w:rsid w:val="00A971B9"/>
    <w:rsid w:val="00AA097C"/>
    <w:rsid w:val="00AA67E2"/>
    <w:rsid w:val="00AA7E8F"/>
    <w:rsid w:val="00AB07DB"/>
    <w:rsid w:val="00AB2423"/>
    <w:rsid w:val="00AC169B"/>
    <w:rsid w:val="00AC2F8D"/>
    <w:rsid w:val="00AC4A3E"/>
    <w:rsid w:val="00AC5092"/>
    <w:rsid w:val="00AC6B93"/>
    <w:rsid w:val="00AD64EE"/>
    <w:rsid w:val="00AE0508"/>
    <w:rsid w:val="00AE4B98"/>
    <w:rsid w:val="00AF22FE"/>
    <w:rsid w:val="00AF2562"/>
    <w:rsid w:val="00AF390B"/>
    <w:rsid w:val="00AF4A53"/>
    <w:rsid w:val="00AF74D7"/>
    <w:rsid w:val="00B04743"/>
    <w:rsid w:val="00B06E1B"/>
    <w:rsid w:val="00B11D14"/>
    <w:rsid w:val="00B11E74"/>
    <w:rsid w:val="00B13B19"/>
    <w:rsid w:val="00B13FEF"/>
    <w:rsid w:val="00B1660E"/>
    <w:rsid w:val="00B212C2"/>
    <w:rsid w:val="00B23B7E"/>
    <w:rsid w:val="00B24079"/>
    <w:rsid w:val="00B3048C"/>
    <w:rsid w:val="00B3121C"/>
    <w:rsid w:val="00B31B98"/>
    <w:rsid w:val="00B32D53"/>
    <w:rsid w:val="00B334C8"/>
    <w:rsid w:val="00B3361D"/>
    <w:rsid w:val="00B34887"/>
    <w:rsid w:val="00B35C9F"/>
    <w:rsid w:val="00B40856"/>
    <w:rsid w:val="00B444D3"/>
    <w:rsid w:val="00B45EB9"/>
    <w:rsid w:val="00B46669"/>
    <w:rsid w:val="00B46B7B"/>
    <w:rsid w:val="00B505BF"/>
    <w:rsid w:val="00B509C6"/>
    <w:rsid w:val="00B55B62"/>
    <w:rsid w:val="00B65A93"/>
    <w:rsid w:val="00B65F81"/>
    <w:rsid w:val="00B6723D"/>
    <w:rsid w:val="00B71022"/>
    <w:rsid w:val="00B732F7"/>
    <w:rsid w:val="00B74E49"/>
    <w:rsid w:val="00B74F49"/>
    <w:rsid w:val="00B8057D"/>
    <w:rsid w:val="00B8377F"/>
    <w:rsid w:val="00B84493"/>
    <w:rsid w:val="00B92ADB"/>
    <w:rsid w:val="00B92C6A"/>
    <w:rsid w:val="00B97EFC"/>
    <w:rsid w:val="00BA0B56"/>
    <w:rsid w:val="00BA179F"/>
    <w:rsid w:val="00BA2424"/>
    <w:rsid w:val="00BA4BA7"/>
    <w:rsid w:val="00BB0B3A"/>
    <w:rsid w:val="00BB1067"/>
    <w:rsid w:val="00BB1E30"/>
    <w:rsid w:val="00BB442C"/>
    <w:rsid w:val="00BC3323"/>
    <w:rsid w:val="00BC49EE"/>
    <w:rsid w:val="00BC77EA"/>
    <w:rsid w:val="00BD0529"/>
    <w:rsid w:val="00BE5966"/>
    <w:rsid w:val="00BF186B"/>
    <w:rsid w:val="00BF689F"/>
    <w:rsid w:val="00C018C7"/>
    <w:rsid w:val="00C01D16"/>
    <w:rsid w:val="00C02E72"/>
    <w:rsid w:val="00C039D7"/>
    <w:rsid w:val="00C0540B"/>
    <w:rsid w:val="00C10444"/>
    <w:rsid w:val="00C126AA"/>
    <w:rsid w:val="00C13D58"/>
    <w:rsid w:val="00C20D5B"/>
    <w:rsid w:val="00C2425D"/>
    <w:rsid w:val="00C2486D"/>
    <w:rsid w:val="00C26982"/>
    <w:rsid w:val="00C37463"/>
    <w:rsid w:val="00C43D7F"/>
    <w:rsid w:val="00C5361E"/>
    <w:rsid w:val="00C537CF"/>
    <w:rsid w:val="00C55B83"/>
    <w:rsid w:val="00C614F0"/>
    <w:rsid w:val="00C61E5B"/>
    <w:rsid w:val="00C63555"/>
    <w:rsid w:val="00C63D86"/>
    <w:rsid w:val="00C717F3"/>
    <w:rsid w:val="00C80C72"/>
    <w:rsid w:val="00C82581"/>
    <w:rsid w:val="00C82A7E"/>
    <w:rsid w:val="00C83C67"/>
    <w:rsid w:val="00C8476D"/>
    <w:rsid w:val="00C85E04"/>
    <w:rsid w:val="00C9174D"/>
    <w:rsid w:val="00C96343"/>
    <w:rsid w:val="00C97570"/>
    <w:rsid w:val="00C976ED"/>
    <w:rsid w:val="00CA04F6"/>
    <w:rsid w:val="00CA3092"/>
    <w:rsid w:val="00CA33C0"/>
    <w:rsid w:val="00CA34CE"/>
    <w:rsid w:val="00CA4EAD"/>
    <w:rsid w:val="00CA75EB"/>
    <w:rsid w:val="00CA7649"/>
    <w:rsid w:val="00CA76B4"/>
    <w:rsid w:val="00CA7791"/>
    <w:rsid w:val="00CA7DE5"/>
    <w:rsid w:val="00CB1B62"/>
    <w:rsid w:val="00CB3256"/>
    <w:rsid w:val="00CC2374"/>
    <w:rsid w:val="00CD007D"/>
    <w:rsid w:val="00CD0D34"/>
    <w:rsid w:val="00CD1895"/>
    <w:rsid w:val="00CE3F18"/>
    <w:rsid w:val="00CE4892"/>
    <w:rsid w:val="00CE5D70"/>
    <w:rsid w:val="00CF0A1E"/>
    <w:rsid w:val="00CF1E42"/>
    <w:rsid w:val="00CF7332"/>
    <w:rsid w:val="00D02D32"/>
    <w:rsid w:val="00D04629"/>
    <w:rsid w:val="00D04A57"/>
    <w:rsid w:val="00D05718"/>
    <w:rsid w:val="00D14424"/>
    <w:rsid w:val="00D14722"/>
    <w:rsid w:val="00D17D9E"/>
    <w:rsid w:val="00D21B8A"/>
    <w:rsid w:val="00D27D8F"/>
    <w:rsid w:val="00D33344"/>
    <w:rsid w:val="00D36028"/>
    <w:rsid w:val="00D36712"/>
    <w:rsid w:val="00D36E95"/>
    <w:rsid w:val="00D4274F"/>
    <w:rsid w:val="00D43E33"/>
    <w:rsid w:val="00D53337"/>
    <w:rsid w:val="00D53B45"/>
    <w:rsid w:val="00D554C0"/>
    <w:rsid w:val="00D5697C"/>
    <w:rsid w:val="00D56B98"/>
    <w:rsid w:val="00D620B7"/>
    <w:rsid w:val="00D62450"/>
    <w:rsid w:val="00D63FAC"/>
    <w:rsid w:val="00D65DC8"/>
    <w:rsid w:val="00D66145"/>
    <w:rsid w:val="00D70770"/>
    <w:rsid w:val="00D73CB8"/>
    <w:rsid w:val="00D73E89"/>
    <w:rsid w:val="00D7437F"/>
    <w:rsid w:val="00D817E9"/>
    <w:rsid w:val="00D8271C"/>
    <w:rsid w:val="00D82CE1"/>
    <w:rsid w:val="00D87B82"/>
    <w:rsid w:val="00D96638"/>
    <w:rsid w:val="00D96E75"/>
    <w:rsid w:val="00D97903"/>
    <w:rsid w:val="00DA0E34"/>
    <w:rsid w:val="00DB22AE"/>
    <w:rsid w:val="00DB53BC"/>
    <w:rsid w:val="00DB642A"/>
    <w:rsid w:val="00DB7847"/>
    <w:rsid w:val="00DB7F6D"/>
    <w:rsid w:val="00DC097E"/>
    <w:rsid w:val="00DC0ADE"/>
    <w:rsid w:val="00DC498D"/>
    <w:rsid w:val="00DC60A1"/>
    <w:rsid w:val="00DD4A11"/>
    <w:rsid w:val="00DD6BAF"/>
    <w:rsid w:val="00DE2F96"/>
    <w:rsid w:val="00DE3717"/>
    <w:rsid w:val="00DE40D4"/>
    <w:rsid w:val="00DE557B"/>
    <w:rsid w:val="00DE7733"/>
    <w:rsid w:val="00DF094E"/>
    <w:rsid w:val="00DF1D54"/>
    <w:rsid w:val="00DF36EE"/>
    <w:rsid w:val="00E0084E"/>
    <w:rsid w:val="00E02271"/>
    <w:rsid w:val="00E13507"/>
    <w:rsid w:val="00E15AC3"/>
    <w:rsid w:val="00E2079B"/>
    <w:rsid w:val="00E219B9"/>
    <w:rsid w:val="00E247B5"/>
    <w:rsid w:val="00E25E28"/>
    <w:rsid w:val="00E2667F"/>
    <w:rsid w:val="00E3060F"/>
    <w:rsid w:val="00E3271A"/>
    <w:rsid w:val="00E34A98"/>
    <w:rsid w:val="00E35004"/>
    <w:rsid w:val="00E402D2"/>
    <w:rsid w:val="00E44249"/>
    <w:rsid w:val="00E4508D"/>
    <w:rsid w:val="00E50D27"/>
    <w:rsid w:val="00E538E2"/>
    <w:rsid w:val="00E60764"/>
    <w:rsid w:val="00E620F9"/>
    <w:rsid w:val="00E6275D"/>
    <w:rsid w:val="00E64584"/>
    <w:rsid w:val="00E67AA2"/>
    <w:rsid w:val="00E7014C"/>
    <w:rsid w:val="00E71332"/>
    <w:rsid w:val="00E73314"/>
    <w:rsid w:val="00E75D76"/>
    <w:rsid w:val="00E908F0"/>
    <w:rsid w:val="00E90FCB"/>
    <w:rsid w:val="00E91206"/>
    <w:rsid w:val="00E921AC"/>
    <w:rsid w:val="00E93230"/>
    <w:rsid w:val="00E93DD5"/>
    <w:rsid w:val="00E95B5C"/>
    <w:rsid w:val="00E975AB"/>
    <w:rsid w:val="00EA108F"/>
    <w:rsid w:val="00EA3A01"/>
    <w:rsid w:val="00EA3E2F"/>
    <w:rsid w:val="00EB00AE"/>
    <w:rsid w:val="00EB6BAF"/>
    <w:rsid w:val="00EC1146"/>
    <w:rsid w:val="00EC36A1"/>
    <w:rsid w:val="00EC3F83"/>
    <w:rsid w:val="00EC454A"/>
    <w:rsid w:val="00EE2BDF"/>
    <w:rsid w:val="00EE3EB4"/>
    <w:rsid w:val="00F01C5C"/>
    <w:rsid w:val="00F04378"/>
    <w:rsid w:val="00F0692B"/>
    <w:rsid w:val="00F107A8"/>
    <w:rsid w:val="00F11A13"/>
    <w:rsid w:val="00F1202B"/>
    <w:rsid w:val="00F14108"/>
    <w:rsid w:val="00F17E46"/>
    <w:rsid w:val="00F23C1B"/>
    <w:rsid w:val="00F262F0"/>
    <w:rsid w:val="00F2790D"/>
    <w:rsid w:val="00F32C6D"/>
    <w:rsid w:val="00F400EE"/>
    <w:rsid w:val="00F410AD"/>
    <w:rsid w:val="00F41D71"/>
    <w:rsid w:val="00F43938"/>
    <w:rsid w:val="00F4398F"/>
    <w:rsid w:val="00F45108"/>
    <w:rsid w:val="00F470A6"/>
    <w:rsid w:val="00F5307D"/>
    <w:rsid w:val="00F570F1"/>
    <w:rsid w:val="00F57F2C"/>
    <w:rsid w:val="00F61DA9"/>
    <w:rsid w:val="00F62901"/>
    <w:rsid w:val="00F6487C"/>
    <w:rsid w:val="00F67CB8"/>
    <w:rsid w:val="00F704C2"/>
    <w:rsid w:val="00F741F2"/>
    <w:rsid w:val="00F77467"/>
    <w:rsid w:val="00F776D7"/>
    <w:rsid w:val="00F77AB0"/>
    <w:rsid w:val="00F804E6"/>
    <w:rsid w:val="00F8501E"/>
    <w:rsid w:val="00F87F40"/>
    <w:rsid w:val="00F9072C"/>
    <w:rsid w:val="00F90DBE"/>
    <w:rsid w:val="00F953EC"/>
    <w:rsid w:val="00FA13BE"/>
    <w:rsid w:val="00FA22C7"/>
    <w:rsid w:val="00FA25E3"/>
    <w:rsid w:val="00FB0504"/>
    <w:rsid w:val="00FB23AD"/>
    <w:rsid w:val="00FC5606"/>
    <w:rsid w:val="00FD1F01"/>
    <w:rsid w:val="00FD6119"/>
    <w:rsid w:val="00FE071B"/>
    <w:rsid w:val="00FE0B8C"/>
    <w:rsid w:val="00FE0E94"/>
    <w:rsid w:val="00FE2A3F"/>
    <w:rsid w:val="00FE6085"/>
    <w:rsid w:val="00FE6C76"/>
    <w:rsid w:val="00FF275A"/>
    <w:rsid w:val="00FF4ABB"/>
    <w:rsid w:val="00F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0A4F9"/>
  <w15:docId w15:val="{0585E4EA-503F-4944-AAC0-F8F2C258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97"/>
    <w:pPr>
      <w:spacing w:after="240" w:line="240" w:lineRule="auto"/>
      <w:jc w:val="both"/>
    </w:pPr>
    <w:rPr>
      <w:rFonts w:ascii="Times New Roman" w:eastAsia="Times New Roman" w:hAnsi="Times New Roman" w:cs="Times New Roman"/>
      <w:sz w:val="24"/>
      <w:szCs w:val="20"/>
      <w:lang w:val="en-GB"/>
    </w:rPr>
  </w:style>
  <w:style w:type="paragraph" w:styleId="Naslov1">
    <w:name w:val="heading 1"/>
    <w:basedOn w:val="Normal"/>
    <w:next w:val="Normal"/>
    <w:link w:val="Naslov1Char"/>
    <w:uiPriority w:val="9"/>
    <w:qFormat/>
    <w:rsid w:val="00594097"/>
    <w:pPr>
      <w:keepNext/>
      <w:numPr>
        <w:numId w:val="1"/>
      </w:numPr>
      <w:spacing w:before="240"/>
      <w:outlineLvl w:val="0"/>
    </w:pPr>
    <w:rPr>
      <w:b/>
      <w:smallCaps/>
    </w:rPr>
  </w:style>
  <w:style w:type="paragraph" w:styleId="Naslov2">
    <w:name w:val="heading 2"/>
    <w:basedOn w:val="Normal"/>
    <w:next w:val="Normal"/>
    <w:link w:val="Naslov2Char"/>
    <w:qFormat/>
    <w:rsid w:val="00594097"/>
    <w:pPr>
      <w:keepNext/>
      <w:numPr>
        <w:ilvl w:val="1"/>
        <w:numId w:val="1"/>
      </w:numPr>
      <w:outlineLvl w:val="1"/>
    </w:pPr>
    <w:rPr>
      <w:b/>
    </w:rPr>
  </w:style>
  <w:style w:type="paragraph" w:styleId="Naslov3">
    <w:name w:val="heading 3"/>
    <w:basedOn w:val="Normal"/>
    <w:next w:val="Normal"/>
    <w:link w:val="Naslov3Char"/>
    <w:qFormat/>
    <w:rsid w:val="00594097"/>
    <w:pPr>
      <w:keepNext/>
      <w:numPr>
        <w:ilvl w:val="2"/>
        <w:numId w:val="1"/>
      </w:numPr>
      <w:outlineLvl w:val="2"/>
    </w:pPr>
    <w:rPr>
      <w:i/>
    </w:rPr>
  </w:style>
  <w:style w:type="paragraph" w:styleId="Naslov4">
    <w:name w:val="heading 4"/>
    <w:basedOn w:val="Normal"/>
    <w:next w:val="Normal"/>
    <w:link w:val="Naslov4Char"/>
    <w:qFormat/>
    <w:rsid w:val="00594097"/>
    <w:pPr>
      <w:keepNext/>
      <w:numPr>
        <w:ilvl w:val="3"/>
        <w:numId w:val="1"/>
      </w:numPr>
      <w:outlineLvl w:val="3"/>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A76B4"/>
    <w:pPr>
      <w:autoSpaceDE w:val="0"/>
      <w:autoSpaceDN w:val="0"/>
      <w:adjustRightInd w:val="0"/>
      <w:spacing w:after="0" w:line="240" w:lineRule="auto"/>
    </w:pPr>
    <w:rPr>
      <w:rFonts w:ascii="Futura Lt BT" w:hAnsi="Futura Lt BT" w:cs="Futura Lt BT"/>
      <w:color w:val="000000"/>
      <w:sz w:val="24"/>
      <w:szCs w:val="24"/>
    </w:rPr>
  </w:style>
  <w:style w:type="character" w:customStyle="1" w:styleId="Naslov1Char">
    <w:name w:val="Naslov 1 Char"/>
    <w:basedOn w:val="Zadanifontodlomka"/>
    <w:link w:val="Naslov1"/>
    <w:uiPriority w:val="9"/>
    <w:rsid w:val="00594097"/>
    <w:rPr>
      <w:rFonts w:ascii="Times New Roman" w:eastAsia="Times New Roman" w:hAnsi="Times New Roman" w:cs="Times New Roman"/>
      <w:b/>
      <w:smallCaps/>
      <w:sz w:val="24"/>
      <w:szCs w:val="20"/>
      <w:lang w:val="en-GB"/>
    </w:rPr>
  </w:style>
  <w:style w:type="character" w:customStyle="1" w:styleId="Naslov2Char">
    <w:name w:val="Naslov 2 Char"/>
    <w:basedOn w:val="Zadanifontodlomka"/>
    <w:link w:val="Naslov2"/>
    <w:rsid w:val="00594097"/>
    <w:rPr>
      <w:rFonts w:ascii="Times New Roman" w:eastAsia="Times New Roman" w:hAnsi="Times New Roman" w:cs="Times New Roman"/>
      <w:b/>
      <w:sz w:val="24"/>
      <w:szCs w:val="20"/>
      <w:lang w:val="en-GB"/>
    </w:rPr>
  </w:style>
  <w:style w:type="character" w:customStyle="1" w:styleId="Naslov3Char">
    <w:name w:val="Naslov 3 Char"/>
    <w:basedOn w:val="Zadanifontodlomka"/>
    <w:link w:val="Naslov3"/>
    <w:rsid w:val="00594097"/>
    <w:rPr>
      <w:rFonts w:ascii="Times New Roman" w:eastAsia="Times New Roman" w:hAnsi="Times New Roman" w:cs="Times New Roman"/>
      <w:i/>
      <w:sz w:val="24"/>
      <w:szCs w:val="20"/>
      <w:lang w:val="en-GB"/>
    </w:rPr>
  </w:style>
  <w:style w:type="character" w:customStyle="1" w:styleId="Naslov4Char">
    <w:name w:val="Naslov 4 Char"/>
    <w:basedOn w:val="Zadanifontodlomka"/>
    <w:link w:val="Naslov4"/>
    <w:rsid w:val="00594097"/>
    <w:rPr>
      <w:rFonts w:ascii="Times New Roman" w:eastAsia="Times New Roman" w:hAnsi="Times New Roman" w:cs="Times New Roman"/>
      <w:sz w:val="24"/>
      <w:szCs w:val="20"/>
      <w:lang w:val="en-GB"/>
    </w:rPr>
  </w:style>
  <w:style w:type="paragraph" w:styleId="Tekstfusnote">
    <w:name w:val="footnote text"/>
    <w:basedOn w:val="Normal"/>
    <w:link w:val="TekstfusnoteChar"/>
    <w:uiPriority w:val="99"/>
    <w:semiHidden/>
    <w:unhideWhenUsed/>
    <w:rsid w:val="00E538E2"/>
    <w:pPr>
      <w:spacing w:after="0"/>
    </w:pPr>
    <w:rPr>
      <w:sz w:val="20"/>
    </w:rPr>
  </w:style>
  <w:style w:type="character" w:customStyle="1" w:styleId="TekstfusnoteChar">
    <w:name w:val="Tekst fusnote Char"/>
    <w:basedOn w:val="Zadanifontodlomka"/>
    <w:link w:val="Tekstfusnote"/>
    <w:uiPriority w:val="99"/>
    <w:semiHidden/>
    <w:rsid w:val="00E538E2"/>
    <w:rPr>
      <w:rFonts w:ascii="Times New Roman" w:eastAsia="Times New Roman" w:hAnsi="Times New Roman" w:cs="Times New Roman"/>
      <w:sz w:val="20"/>
      <w:szCs w:val="20"/>
      <w:lang w:val="en-GB"/>
    </w:rPr>
  </w:style>
  <w:style w:type="character" w:styleId="Referencafusnote">
    <w:name w:val="footnote reference"/>
    <w:basedOn w:val="Zadanifontodlomka"/>
    <w:uiPriority w:val="99"/>
    <w:semiHidden/>
    <w:unhideWhenUsed/>
    <w:rsid w:val="00E538E2"/>
    <w:rPr>
      <w:vertAlign w:val="superscript"/>
    </w:rPr>
  </w:style>
  <w:style w:type="paragraph" w:styleId="Zaglavlje">
    <w:name w:val="header"/>
    <w:basedOn w:val="Normal"/>
    <w:link w:val="ZaglavljeChar"/>
    <w:uiPriority w:val="99"/>
    <w:unhideWhenUsed/>
    <w:rsid w:val="00F57F2C"/>
    <w:pPr>
      <w:tabs>
        <w:tab w:val="center" w:pos="4680"/>
        <w:tab w:val="right" w:pos="9360"/>
      </w:tabs>
      <w:spacing w:after="0"/>
    </w:pPr>
  </w:style>
  <w:style w:type="character" w:customStyle="1" w:styleId="ZaglavljeChar">
    <w:name w:val="Zaglavlje Char"/>
    <w:basedOn w:val="Zadanifontodlomka"/>
    <w:link w:val="Zaglavlje"/>
    <w:uiPriority w:val="99"/>
    <w:rsid w:val="00F57F2C"/>
    <w:rPr>
      <w:rFonts w:ascii="Times New Roman" w:eastAsia="Times New Roman" w:hAnsi="Times New Roman" w:cs="Times New Roman"/>
      <w:sz w:val="24"/>
      <w:szCs w:val="20"/>
      <w:lang w:val="en-GB"/>
    </w:rPr>
  </w:style>
  <w:style w:type="paragraph" w:styleId="Podnoje">
    <w:name w:val="footer"/>
    <w:basedOn w:val="Normal"/>
    <w:link w:val="PodnojeChar"/>
    <w:uiPriority w:val="99"/>
    <w:unhideWhenUsed/>
    <w:rsid w:val="00F57F2C"/>
    <w:pPr>
      <w:tabs>
        <w:tab w:val="center" w:pos="4680"/>
        <w:tab w:val="right" w:pos="9360"/>
      </w:tabs>
      <w:spacing w:after="0"/>
    </w:pPr>
  </w:style>
  <w:style w:type="character" w:customStyle="1" w:styleId="PodnojeChar">
    <w:name w:val="Podnožje Char"/>
    <w:basedOn w:val="Zadanifontodlomka"/>
    <w:link w:val="Podnoje"/>
    <w:uiPriority w:val="99"/>
    <w:rsid w:val="00F57F2C"/>
    <w:rPr>
      <w:rFonts w:ascii="Times New Roman" w:eastAsia="Times New Roman" w:hAnsi="Times New Roman" w:cs="Times New Roman"/>
      <w:sz w:val="24"/>
      <w:szCs w:val="20"/>
      <w:lang w:val="en-GB"/>
    </w:rPr>
  </w:style>
  <w:style w:type="table" w:styleId="Reetkatablice">
    <w:name w:val="Table Grid"/>
    <w:basedOn w:val="Obinatablica"/>
    <w:uiPriority w:val="39"/>
    <w:rsid w:val="00D97903"/>
    <w:pPr>
      <w:spacing w:before="120" w:after="0" w:line="240" w:lineRule="auto"/>
      <w:ind w:left="34"/>
      <w:jc w:val="both"/>
    </w:pPr>
    <w:rPr>
      <w:rFonts w:ascii="Times New Roman" w:eastAsia="SimSun" w:hAnsi="Times New Roman" w:cs="Times New Roman"/>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D97903"/>
    <w:pPr>
      <w:ind w:left="720"/>
      <w:contextualSpacing/>
    </w:pPr>
  </w:style>
  <w:style w:type="character" w:customStyle="1" w:styleId="Bodytext3">
    <w:name w:val="Body text (3)_"/>
    <w:basedOn w:val="Zadanifontodlomka"/>
    <w:link w:val="Bodytext31"/>
    <w:rsid w:val="003D5D5F"/>
    <w:rPr>
      <w:rFonts w:ascii="Palatino Linotype" w:hAnsi="Palatino Linotype" w:cs="Palatino Linotype"/>
      <w:sz w:val="14"/>
      <w:szCs w:val="14"/>
      <w:shd w:val="clear" w:color="auto" w:fill="FFFFFF"/>
    </w:rPr>
  </w:style>
  <w:style w:type="character" w:customStyle="1" w:styleId="Bodytext34">
    <w:name w:val="Body text (3)4"/>
    <w:basedOn w:val="Bodytext3"/>
    <w:rsid w:val="003D5D5F"/>
    <w:rPr>
      <w:rFonts w:ascii="Palatino Linotype" w:hAnsi="Palatino Linotype" w:cs="Palatino Linotype"/>
      <w:sz w:val="14"/>
      <w:szCs w:val="14"/>
      <w:shd w:val="clear" w:color="auto" w:fill="FFFFFF"/>
    </w:rPr>
  </w:style>
  <w:style w:type="character" w:customStyle="1" w:styleId="Bodytext4">
    <w:name w:val="Body text (4)_"/>
    <w:basedOn w:val="Zadanifontodlomka"/>
    <w:link w:val="Bodytext41"/>
    <w:rsid w:val="003D5D5F"/>
    <w:rPr>
      <w:rFonts w:ascii="Palatino Linotype" w:hAnsi="Palatino Linotype" w:cs="Palatino Linotype"/>
      <w:b/>
      <w:bCs/>
      <w:sz w:val="15"/>
      <w:szCs w:val="15"/>
      <w:shd w:val="clear" w:color="auto" w:fill="FFFFFF"/>
    </w:rPr>
  </w:style>
  <w:style w:type="character" w:customStyle="1" w:styleId="Bodytext40">
    <w:name w:val="Body text (4)"/>
    <w:basedOn w:val="Bodytext4"/>
    <w:rsid w:val="003D5D5F"/>
    <w:rPr>
      <w:rFonts w:ascii="Palatino Linotype" w:hAnsi="Palatino Linotype" w:cs="Palatino Linotype"/>
      <w:b/>
      <w:bCs/>
      <w:sz w:val="15"/>
      <w:szCs w:val="15"/>
      <w:shd w:val="clear" w:color="auto" w:fill="FFFFFF"/>
    </w:rPr>
  </w:style>
  <w:style w:type="character" w:customStyle="1" w:styleId="Bodytext46">
    <w:name w:val="Body text (4) + 6"/>
    <w:aliases w:val="5 pt4,Not Bold,Italic3"/>
    <w:basedOn w:val="Bodytext4"/>
    <w:rsid w:val="003D5D5F"/>
    <w:rPr>
      <w:rFonts w:ascii="Palatino Linotype" w:hAnsi="Palatino Linotype" w:cs="Palatino Linotype"/>
      <w:b/>
      <w:bCs/>
      <w:i/>
      <w:iCs/>
      <w:sz w:val="13"/>
      <w:szCs w:val="13"/>
      <w:shd w:val="clear" w:color="auto" w:fill="FFFFFF"/>
    </w:rPr>
  </w:style>
  <w:style w:type="character" w:customStyle="1" w:styleId="Bodytext5">
    <w:name w:val="Body text (5)_"/>
    <w:basedOn w:val="Zadanifontodlomka"/>
    <w:link w:val="Bodytext51"/>
    <w:rsid w:val="003D5D5F"/>
    <w:rPr>
      <w:rFonts w:ascii="Palatino Linotype" w:hAnsi="Palatino Linotype" w:cs="Palatino Linotype"/>
      <w:i/>
      <w:iCs/>
      <w:sz w:val="13"/>
      <w:szCs w:val="13"/>
      <w:shd w:val="clear" w:color="auto" w:fill="FFFFFF"/>
    </w:rPr>
  </w:style>
  <w:style w:type="character" w:customStyle="1" w:styleId="Bodytext50">
    <w:name w:val="Body text (5)"/>
    <w:basedOn w:val="Bodytext5"/>
    <w:rsid w:val="003D5D5F"/>
    <w:rPr>
      <w:rFonts w:ascii="Palatino Linotype" w:hAnsi="Palatino Linotype" w:cs="Palatino Linotype"/>
      <w:i/>
      <w:iCs/>
      <w:sz w:val="13"/>
      <w:szCs w:val="13"/>
      <w:shd w:val="clear" w:color="auto" w:fill="FFFFFF"/>
    </w:rPr>
  </w:style>
  <w:style w:type="character" w:customStyle="1" w:styleId="Bodytext33">
    <w:name w:val="Body text (3)3"/>
    <w:basedOn w:val="Bodytext3"/>
    <w:rsid w:val="003D5D5F"/>
    <w:rPr>
      <w:rFonts w:ascii="Palatino Linotype" w:hAnsi="Palatino Linotype" w:cs="Palatino Linotype"/>
      <w:sz w:val="14"/>
      <w:szCs w:val="14"/>
      <w:shd w:val="clear" w:color="auto" w:fill="FFFFFF"/>
    </w:rPr>
  </w:style>
  <w:style w:type="character" w:customStyle="1" w:styleId="Bodytext53">
    <w:name w:val="Body text (5)3"/>
    <w:basedOn w:val="Bodytext5"/>
    <w:rsid w:val="003D5D5F"/>
    <w:rPr>
      <w:rFonts w:ascii="Palatino Linotype" w:hAnsi="Palatino Linotype" w:cs="Palatino Linotype"/>
      <w:i/>
      <w:iCs/>
      <w:sz w:val="13"/>
      <w:szCs w:val="13"/>
      <w:shd w:val="clear" w:color="auto" w:fill="FFFFFF"/>
    </w:rPr>
  </w:style>
  <w:style w:type="character" w:customStyle="1" w:styleId="Bodytext43">
    <w:name w:val="Body text (4)3"/>
    <w:basedOn w:val="Bodytext4"/>
    <w:rsid w:val="003D5D5F"/>
    <w:rPr>
      <w:rFonts w:ascii="Palatino Linotype" w:hAnsi="Palatino Linotype" w:cs="Palatino Linotype"/>
      <w:b/>
      <w:bCs/>
      <w:sz w:val="15"/>
      <w:szCs w:val="15"/>
      <w:shd w:val="clear" w:color="auto" w:fill="FFFFFF"/>
    </w:rPr>
  </w:style>
  <w:style w:type="character" w:customStyle="1" w:styleId="Bodytext462">
    <w:name w:val="Body text (4) + 62"/>
    <w:aliases w:val="5 pt3,Not Bold2,Italic2"/>
    <w:basedOn w:val="Bodytext4"/>
    <w:rsid w:val="003D5D5F"/>
    <w:rPr>
      <w:rFonts w:ascii="Palatino Linotype" w:hAnsi="Palatino Linotype" w:cs="Palatino Linotype"/>
      <w:b/>
      <w:bCs/>
      <w:i/>
      <w:iCs/>
      <w:sz w:val="13"/>
      <w:szCs w:val="13"/>
      <w:shd w:val="clear" w:color="auto" w:fill="FFFFFF"/>
    </w:rPr>
  </w:style>
  <w:style w:type="character" w:customStyle="1" w:styleId="Bodytext32">
    <w:name w:val="Body text (3)2"/>
    <w:basedOn w:val="Bodytext3"/>
    <w:rsid w:val="003D5D5F"/>
    <w:rPr>
      <w:rFonts w:ascii="Palatino Linotype" w:hAnsi="Palatino Linotype" w:cs="Palatino Linotype"/>
      <w:sz w:val="14"/>
      <w:szCs w:val="14"/>
      <w:shd w:val="clear" w:color="auto" w:fill="FFFFFF"/>
    </w:rPr>
  </w:style>
  <w:style w:type="paragraph" w:customStyle="1" w:styleId="Bodytext31">
    <w:name w:val="Body text (3)1"/>
    <w:basedOn w:val="Normal"/>
    <w:link w:val="Bodytext3"/>
    <w:rsid w:val="003D5D5F"/>
    <w:pPr>
      <w:shd w:val="clear" w:color="auto" w:fill="FFFFFF"/>
      <w:spacing w:after="360" w:line="240" w:lineRule="atLeast"/>
      <w:ind w:hanging="500"/>
    </w:pPr>
    <w:rPr>
      <w:rFonts w:ascii="Palatino Linotype" w:eastAsiaTheme="minorHAnsi" w:hAnsi="Palatino Linotype" w:cs="Palatino Linotype"/>
      <w:sz w:val="14"/>
      <w:szCs w:val="14"/>
      <w:lang w:val="en-US"/>
    </w:rPr>
  </w:style>
  <w:style w:type="paragraph" w:customStyle="1" w:styleId="Bodytext41">
    <w:name w:val="Body text (4)1"/>
    <w:basedOn w:val="Normal"/>
    <w:link w:val="Bodytext4"/>
    <w:rsid w:val="003D5D5F"/>
    <w:pPr>
      <w:shd w:val="clear" w:color="auto" w:fill="FFFFFF"/>
      <w:spacing w:after="420" w:line="240" w:lineRule="atLeast"/>
      <w:jc w:val="left"/>
    </w:pPr>
    <w:rPr>
      <w:rFonts w:ascii="Palatino Linotype" w:eastAsiaTheme="minorHAnsi" w:hAnsi="Palatino Linotype" w:cs="Palatino Linotype"/>
      <w:b/>
      <w:bCs/>
      <w:sz w:val="15"/>
      <w:szCs w:val="15"/>
      <w:lang w:val="en-US"/>
    </w:rPr>
  </w:style>
  <w:style w:type="paragraph" w:customStyle="1" w:styleId="Bodytext51">
    <w:name w:val="Body text (5)1"/>
    <w:basedOn w:val="Normal"/>
    <w:link w:val="Bodytext5"/>
    <w:rsid w:val="003D5D5F"/>
    <w:pPr>
      <w:shd w:val="clear" w:color="auto" w:fill="FFFFFF"/>
      <w:spacing w:before="420" w:after="180" w:line="240" w:lineRule="atLeast"/>
      <w:jc w:val="right"/>
    </w:pPr>
    <w:rPr>
      <w:rFonts w:ascii="Palatino Linotype" w:eastAsiaTheme="minorHAnsi" w:hAnsi="Palatino Linotype" w:cs="Palatino Linotype"/>
      <w:i/>
      <w:iCs/>
      <w:sz w:val="13"/>
      <w:szCs w:val="13"/>
      <w:lang w:val="en-US"/>
    </w:rPr>
  </w:style>
  <w:style w:type="paragraph" w:customStyle="1" w:styleId="Stavci">
    <w:name w:val="Stavci"/>
    <w:basedOn w:val="Normal"/>
    <w:qFormat/>
    <w:rsid w:val="009E68BC"/>
    <w:pPr>
      <w:numPr>
        <w:numId w:val="13"/>
      </w:numPr>
      <w:spacing w:before="120" w:after="0"/>
    </w:pPr>
    <w:rPr>
      <w:rFonts w:eastAsia="Calibri"/>
      <w:szCs w:val="24"/>
      <w:lang w:val="hr-HR"/>
    </w:rPr>
  </w:style>
  <w:style w:type="character" w:styleId="Referencakomentara">
    <w:name w:val="annotation reference"/>
    <w:basedOn w:val="Zadanifontodlomka"/>
    <w:uiPriority w:val="99"/>
    <w:semiHidden/>
    <w:unhideWhenUsed/>
    <w:rsid w:val="00181FE1"/>
    <w:rPr>
      <w:sz w:val="16"/>
      <w:szCs w:val="16"/>
    </w:rPr>
  </w:style>
  <w:style w:type="paragraph" w:styleId="Tekstkomentara">
    <w:name w:val="annotation text"/>
    <w:basedOn w:val="Normal"/>
    <w:link w:val="TekstkomentaraChar"/>
    <w:uiPriority w:val="99"/>
    <w:semiHidden/>
    <w:unhideWhenUsed/>
    <w:rsid w:val="00181FE1"/>
    <w:rPr>
      <w:sz w:val="20"/>
    </w:rPr>
  </w:style>
  <w:style w:type="character" w:customStyle="1" w:styleId="TekstkomentaraChar">
    <w:name w:val="Tekst komentara Char"/>
    <w:basedOn w:val="Zadanifontodlomka"/>
    <w:link w:val="Tekstkomentara"/>
    <w:uiPriority w:val="99"/>
    <w:semiHidden/>
    <w:rsid w:val="00181FE1"/>
    <w:rPr>
      <w:rFonts w:ascii="Times New Roman" w:eastAsia="Times New Roman" w:hAnsi="Times New Roman" w:cs="Times New Roman"/>
      <w:sz w:val="20"/>
      <w:szCs w:val="20"/>
      <w:lang w:val="en-GB"/>
    </w:rPr>
  </w:style>
  <w:style w:type="paragraph" w:styleId="Predmetkomentara">
    <w:name w:val="annotation subject"/>
    <w:basedOn w:val="Tekstkomentara"/>
    <w:next w:val="Tekstkomentara"/>
    <w:link w:val="PredmetkomentaraChar"/>
    <w:uiPriority w:val="99"/>
    <w:semiHidden/>
    <w:unhideWhenUsed/>
    <w:rsid w:val="00181FE1"/>
    <w:rPr>
      <w:b/>
      <w:bCs/>
    </w:rPr>
  </w:style>
  <w:style w:type="character" w:customStyle="1" w:styleId="PredmetkomentaraChar">
    <w:name w:val="Predmet komentara Char"/>
    <w:basedOn w:val="TekstkomentaraChar"/>
    <w:link w:val="Predmetkomentara"/>
    <w:uiPriority w:val="99"/>
    <w:semiHidden/>
    <w:rsid w:val="00181FE1"/>
    <w:rPr>
      <w:rFonts w:ascii="Times New Roman" w:eastAsia="Times New Roman" w:hAnsi="Times New Roman" w:cs="Times New Roman"/>
      <w:b/>
      <w:bCs/>
      <w:sz w:val="20"/>
      <w:szCs w:val="20"/>
      <w:lang w:val="en-GB"/>
    </w:rPr>
  </w:style>
  <w:style w:type="paragraph" w:styleId="Tekstbalonia">
    <w:name w:val="Balloon Text"/>
    <w:basedOn w:val="Normal"/>
    <w:link w:val="TekstbaloniaChar"/>
    <w:uiPriority w:val="99"/>
    <w:semiHidden/>
    <w:unhideWhenUsed/>
    <w:rsid w:val="00181FE1"/>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81FE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931">
      <w:bodyDiv w:val="1"/>
      <w:marLeft w:val="0"/>
      <w:marRight w:val="0"/>
      <w:marTop w:val="0"/>
      <w:marBottom w:val="0"/>
      <w:divBdr>
        <w:top w:val="none" w:sz="0" w:space="0" w:color="auto"/>
        <w:left w:val="none" w:sz="0" w:space="0" w:color="auto"/>
        <w:bottom w:val="none" w:sz="0" w:space="0" w:color="auto"/>
        <w:right w:val="none" w:sz="0" w:space="0" w:color="auto"/>
      </w:divBdr>
    </w:div>
    <w:div w:id="898907794">
      <w:bodyDiv w:val="1"/>
      <w:marLeft w:val="0"/>
      <w:marRight w:val="0"/>
      <w:marTop w:val="0"/>
      <w:marBottom w:val="0"/>
      <w:divBdr>
        <w:top w:val="none" w:sz="0" w:space="0" w:color="auto"/>
        <w:left w:val="none" w:sz="0" w:space="0" w:color="auto"/>
        <w:bottom w:val="none" w:sz="0" w:space="0" w:color="auto"/>
        <w:right w:val="none" w:sz="0" w:space="0" w:color="auto"/>
      </w:divBdr>
    </w:div>
    <w:div w:id="1835026996">
      <w:bodyDiv w:val="1"/>
      <w:marLeft w:val="390"/>
      <w:marRight w:val="390"/>
      <w:marTop w:val="0"/>
      <w:marBottom w:val="0"/>
      <w:divBdr>
        <w:top w:val="none" w:sz="0" w:space="0" w:color="auto"/>
        <w:left w:val="none" w:sz="0" w:space="0" w:color="auto"/>
        <w:bottom w:val="none" w:sz="0" w:space="0" w:color="auto"/>
        <w:right w:val="none" w:sz="0" w:space="0" w:color="auto"/>
      </w:divBdr>
      <w:divsChild>
        <w:div w:id="2120298535">
          <w:marLeft w:val="810"/>
          <w:marRight w:val="810"/>
          <w:marTop w:val="360"/>
          <w:marBottom w:val="0"/>
          <w:divBdr>
            <w:top w:val="none" w:sz="0" w:space="0" w:color="auto"/>
            <w:left w:val="none" w:sz="0" w:space="0" w:color="auto"/>
            <w:bottom w:val="none" w:sz="0" w:space="0" w:color="auto"/>
            <w:right w:val="none" w:sz="0" w:space="0" w:color="auto"/>
          </w:divBdr>
          <w:divsChild>
            <w:div w:id="311451628">
              <w:marLeft w:val="4005"/>
              <w:marRight w:val="810"/>
              <w:marTop w:val="0"/>
              <w:marBottom w:val="0"/>
              <w:divBdr>
                <w:top w:val="none" w:sz="0" w:space="0" w:color="auto"/>
                <w:left w:val="none" w:sz="0" w:space="0" w:color="auto"/>
                <w:bottom w:val="none" w:sz="0" w:space="0" w:color="auto"/>
                <w:right w:val="none" w:sz="0" w:space="0" w:color="auto"/>
              </w:divBdr>
            </w:div>
          </w:divsChild>
        </w:div>
        <w:div w:id="536695582">
          <w:marLeft w:val="0"/>
          <w:marRight w:val="0"/>
          <w:marTop w:val="0"/>
          <w:marBottom w:val="0"/>
          <w:divBdr>
            <w:top w:val="none" w:sz="0" w:space="0" w:color="auto"/>
            <w:left w:val="none" w:sz="0" w:space="0" w:color="auto"/>
            <w:bottom w:val="none" w:sz="0" w:space="0" w:color="auto"/>
            <w:right w:val="none" w:sz="0" w:space="0" w:color="auto"/>
          </w:divBdr>
        </w:div>
        <w:div w:id="900292974">
          <w:marLeft w:val="0"/>
          <w:marRight w:val="0"/>
          <w:marTop w:val="0"/>
          <w:marBottom w:val="0"/>
          <w:divBdr>
            <w:top w:val="none" w:sz="0" w:space="0" w:color="auto"/>
            <w:left w:val="none" w:sz="0" w:space="0" w:color="auto"/>
            <w:bottom w:val="none" w:sz="0" w:space="0" w:color="auto"/>
            <w:right w:val="none" w:sz="0" w:space="0" w:color="auto"/>
          </w:divBdr>
        </w:div>
        <w:div w:id="202035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39DC2-2DB6-4320-9C05-894C756F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3738</Words>
  <Characters>21309</Characters>
  <Application>Microsoft Office Word</Application>
  <DocSecurity>0</DocSecurity>
  <Lines>177</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valeri</dc:creator>
  <cp:lastModifiedBy>Iva Debanić</cp:lastModifiedBy>
  <cp:revision>6</cp:revision>
  <cp:lastPrinted>2016-08-17T13:37:00Z</cp:lastPrinted>
  <dcterms:created xsi:type="dcterms:W3CDTF">2019-04-24T10:32:00Z</dcterms:created>
  <dcterms:modified xsi:type="dcterms:W3CDTF">2019-04-25T13:32:00Z</dcterms:modified>
</cp:coreProperties>
</file>