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03C6" w14:textId="77777777" w:rsidR="00884942" w:rsidRDefault="00884942" w:rsidP="00CA0D8C">
      <w:pPr>
        <w:spacing w:line="276" w:lineRule="auto"/>
        <w:outlineLvl w:val="0"/>
        <w:rPr>
          <w:rFonts w:cs="Arial"/>
        </w:rPr>
      </w:pPr>
    </w:p>
    <w:p w14:paraId="0FB5F2FF" w14:textId="57FE645A" w:rsidR="00B265F7" w:rsidRPr="00D7315D" w:rsidRDefault="00B265F7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>Razdjel: 0</w:t>
      </w:r>
      <w:r w:rsidR="00B5590E" w:rsidRPr="00D7315D">
        <w:rPr>
          <w:rFonts w:cs="Arial"/>
          <w:lang w:val="pt-BR"/>
        </w:rPr>
        <w:t>7</w:t>
      </w:r>
      <w:r w:rsidR="00EF19A5" w:rsidRPr="00D7315D">
        <w:rPr>
          <w:rFonts w:cs="Arial"/>
          <w:lang w:val="pt-BR"/>
        </w:rPr>
        <w:t>7</w:t>
      </w:r>
      <w:r w:rsidRPr="00D7315D">
        <w:rPr>
          <w:rFonts w:cs="Arial"/>
          <w:lang w:val="pt-BR"/>
        </w:rPr>
        <w:t xml:space="preserve"> Ministarstvo </w:t>
      </w:r>
      <w:r w:rsidR="00755822" w:rsidRPr="00D7315D">
        <w:rPr>
          <w:rFonts w:cs="Arial"/>
          <w:lang w:val="pt-BR"/>
        </w:rPr>
        <w:t>gospodarstva</w:t>
      </w:r>
      <w:r w:rsidR="00EF19A5" w:rsidRPr="00D7315D">
        <w:rPr>
          <w:rFonts w:cs="Arial"/>
          <w:lang w:val="pt-BR"/>
        </w:rPr>
        <w:t xml:space="preserve"> i održivog razvoja </w:t>
      </w:r>
    </w:p>
    <w:p w14:paraId="5237D16A" w14:textId="54176C56" w:rsidR="00B265F7" w:rsidRPr="00D7315D" w:rsidRDefault="00B265F7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>Glava:</w:t>
      </w:r>
      <w:r w:rsidRPr="00D7315D">
        <w:rPr>
          <w:rFonts w:cs="Arial"/>
          <w:lang w:val="pt-BR"/>
        </w:rPr>
        <w:tab/>
        <w:t>0</w:t>
      </w:r>
      <w:r w:rsidR="00B5590E" w:rsidRPr="00D7315D">
        <w:rPr>
          <w:rFonts w:cs="Arial"/>
          <w:lang w:val="pt-BR"/>
        </w:rPr>
        <w:t>7775</w:t>
      </w:r>
      <w:r w:rsidRPr="00D7315D">
        <w:rPr>
          <w:rFonts w:cs="Arial"/>
          <w:lang w:val="pt-BR"/>
        </w:rPr>
        <w:t xml:space="preserve"> Hrvatska agencija za malo gospodarstvo, inovacije i investicije</w:t>
      </w:r>
    </w:p>
    <w:p w14:paraId="4269B2DD" w14:textId="77777777" w:rsidR="00B265F7" w:rsidRPr="00D7315D" w:rsidRDefault="00B265F7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 xml:space="preserve">RKP: 46237 </w:t>
      </w:r>
      <w:r w:rsidR="007621FE" w:rsidRPr="00D7315D">
        <w:rPr>
          <w:rFonts w:cs="Arial"/>
          <w:lang w:val="pt-BR"/>
        </w:rPr>
        <w:t>Hrvatska agencija za malo gospodarstvo, inovacije i investicije</w:t>
      </w:r>
    </w:p>
    <w:p w14:paraId="6BFF9C94" w14:textId="77777777" w:rsidR="00B265F7" w:rsidRPr="00D7315D" w:rsidRDefault="00F74695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 xml:space="preserve">Matični broj: </w:t>
      </w:r>
      <w:r w:rsidR="00B265F7" w:rsidRPr="00D7315D">
        <w:rPr>
          <w:rFonts w:cs="Arial"/>
          <w:lang w:val="pt-BR"/>
        </w:rPr>
        <w:t>0767875</w:t>
      </w:r>
    </w:p>
    <w:p w14:paraId="4826C0DE" w14:textId="77777777" w:rsidR="00B265F7" w:rsidRPr="00D7315D" w:rsidRDefault="00B265F7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>OIB: 25609559342</w:t>
      </w:r>
      <w:r w:rsidRPr="00D7315D">
        <w:rPr>
          <w:rFonts w:cs="Arial"/>
          <w:lang w:val="pt-BR"/>
        </w:rPr>
        <w:tab/>
      </w:r>
    </w:p>
    <w:p w14:paraId="11C1DC18" w14:textId="5DEEDB4E" w:rsidR="007621FE" w:rsidRPr="00D7315D" w:rsidRDefault="007621FE" w:rsidP="00CA0D8C">
      <w:pPr>
        <w:spacing w:line="276" w:lineRule="auto"/>
        <w:outlineLvl w:val="0"/>
        <w:rPr>
          <w:rFonts w:cs="Arial"/>
          <w:lang w:val="pt-BR"/>
        </w:rPr>
      </w:pPr>
      <w:r w:rsidRPr="00D7315D">
        <w:rPr>
          <w:rFonts w:cs="Arial"/>
          <w:lang w:val="pt-BR"/>
        </w:rPr>
        <w:t xml:space="preserve">Adresa: </w:t>
      </w:r>
      <w:r w:rsidR="0074329F" w:rsidRPr="00D7315D">
        <w:rPr>
          <w:rFonts w:cs="Arial"/>
          <w:lang w:val="pt-BR"/>
        </w:rPr>
        <w:t>Ksaver 208, 10</w:t>
      </w:r>
      <w:r w:rsidR="008D7E28">
        <w:rPr>
          <w:rFonts w:cs="Arial"/>
          <w:lang w:val="pt-BR"/>
        </w:rPr>
        <w:t xml:space="preserve"> </w:t>
      </w:r>
      <w:r w:rsidR="0074329F" w:rsidRPr="00D7315D">
        <w:rPr>
          <w:rFonts w:cs="Arial"/>
          <w:lang w:val="pt-BR"/>
        </w:rPr>
        <w:t>000 Zagreb</w:t>
      </w:r>
    </w:p>
    <w:p w14:paraId="19CB8BF9" w14:textId="79B61ADB" w:rsidR="00AC5200" w:rsidRPr="00D7315D" w:rsidRDefault="00AC5200" w:rsidP="00CA0D8C">
      <w:pPr>
        <w:spacing w:line="276" w:lineRule="auto"/>
        <w:rPr>
          <w:lang w:val="pt-BR"/>
        </w:rPr>
      </w:pPr>
      <w:r w:rsidRPr="00D7315D">
        <w:rPr>
          <w:lang w:val="pt-BR"/>
        </w:rPr>
        <w:t xml:space="preserve">Zagreb, </w:t>
      </w:r>
      <w:r w:rsidR="002B6C17">
        <w:rPr>
          <w:lang w:val="pt-BR"/>
        </w:rPr>
        <w:t>25</w:t>
      </w:r>
      <w:r w:rsidR="009979C6" w:rsidRPr="00D7315D">
        <w:rPr>
          <w:lang w:val="pt-BR"/>
        </w:rPr>
        <w:t>.</w:t>
      </w:r>
      <w:r w:rsidR="00F97E4A">
        <w:rPr>
          <w:lang w:val="pt-BR"/>
        </w:rPr>
        <w:t xml:space="preserve"> </w:t>
      </w:r>
      <w:r w:rsidR="008D6A33">
        <w:rPr>
          <w:lang w:val="pt-BR"/>
        </w:rPr>
        <w:t>siječnj</w:t>
      </w:r>
      <w:r w:rsidR="00534848">
        <w:rPr>
          <w:lang w:val="pt-BR"/>
        </w:rPr>
        <w:t>a</w:t>
      </w:r>
      <w:r w:rsidR="00F97E4A">
        <w:rPr>
          <w:lang w:val="pt-BR"/>
        </w:rPr>
        <w:t xml:space="preserve"> </w:t>
      </w:r>
      <w:r w:rsidR="009979C6" w:rsidRPr="00D7315D">
        <w:rPr>
          <w:lang w:val="pt-BR"/>
        </w:rPr>
        <w:t>202</w:t>
      </w:r>
      <w:r w:rsidR="002B6C17">
        <w:rPr>
          <w:lang w:val="pt-BR"/>
        </w:rPr>
        <w:t>5</w:t>
      </w:r>
      <w:r w:rsidR="009979C6" w:rsidRPr="00D7315D">
        <w:rPr>
          <w:lang w:val="pt-BR"/>
        </w:rPr>
        <w:t>.</w:t>
      </w:r>
    </w:p>
    <w:p w14:paraId="53E1D595" w14:textId="77777777" w:rsidR="00AC5200" w:rsidRPr="00D7315D" w:rsidRDefault="00AC5200" w:rsidP="00CA0D8C">
      <w:pPr>
        <w:spacing w:line="276" w:lineRule="auto"/>
        <w:outlineLvl w:val="0"/>
        <w:rPr>
          <w:rFonts w:cs="Arial"/>
          <w:lang w:val="pt-BR"/>
        </w:rPr>
      </w:pPr>
    </w:p>
    <w:p w14:paraId="5E6CEFFC" w14:textId="77777777" w:rsidR="00653F50" w:rsidRPr="00653F50" w:rsidRDefault="00C76072" w:rsidP="00653F50">
      <w:pPr>
        <w:rPr>
          <w:rFonts w:asciiTheme="minorHAnsi" w:hAnsiTheme="minorHAnsi" w:cstheme="minorHAnsi"/>
          <w:lang w:val="hr-HR"/>
        </w:rPr>
      </w:pPr>
      <w:r w:rsidRPr="00653F50">
        <w:rPr>
          <w:rFonts w:asciiTheme="minorHAnsi" w:hAnsiTheme="minorHAnsi" w:cstheme="minorHAnsi"/>
          <w:lang w:val="pt-BR"/>
        </w:rPr>
        <w:t xml:space="preserve">KLASA: </w:t>
      </w:r>
      <w:r w:rsidR="00653F50" w:rsidRPr="00653F50">
        <w:rPr>
          <w:rFonts w:asciiTheme="minorHAnsi" w:hAnsiTheme="minorHAnsi" w:cstheme="minorHAnsi"/>
        </w:rPr>
        <w:t>400-01/24-01/01</w:t>
      </w:r>
    </w:p>
    <w:p w14:paraId="64D7E8D2" w14:textId="486E06DC" w:rsidR="00653F50" w:rsidRPr="00653F50" w:rsidRDefault="00653F50" w:rsidP="00653F50">
      <w:pPr>
        <w:rPr>
          <w:rFonts w:asciiTheme="minorHAnsi" w:hAnsiTheme="minorHAnsi" w:cstheme="minorHAnsi"/>
        </w:rPr>
      </w:pPr>
      <w:r w:rsidRPr="00653F50">
        <w:rPr>
          <w:rFonts w:asciiTheme="minorHAnsi" w:hAnsiTheme="minorHAnsi" w:cstheme="minorHAnsi"/>
        </w:rPr>
        <w:t>URBR: 567-13-25-4</w:t>
      </w:r>
    </w:p>
    <w:p w14:paraId="0841C352" w14:textId="4A0B9E06" w:rsidR="008D7E28" w:rsidRPr="00755B89" w:rsidRDefault="008D7E28" w:rsidP="00653F50">
      <w:pPr>
        <w:spacing w:line="276" w:lineRule="auto"/>
        <w:rPr>
          <w:lang w:val="pt-BR"/>
        </w:rPr>
      </w:pPr>
    </w:p>
    <w:p w14:paraId="72647749" w14:textId="3228CA34" w:rsidR="001A0557" w:rsidRPr="00D7315D" w:rsidRDefault="001A0557" w:rsidP="00CA0D8C">
      <w:pPr>
        <w:spacing w:line="276" w:lineRule="auto"/>
        <w:outlineLvl w:val="0"/>
        <w:rPr>
          <w:rFonts w:cs="Arial"/>
          <w:lang w:val="pt-BR"/>
        </w:rPr>
      </w:pPr>
    </w:p>
    <w:p w14:paraId="1D97344E" w14:textId="77777777" w:rsidR="00E26AA5" w:rsidRDefault="00B265F7" w:rsidP="00E26AA5">
      <w:pPr>
        <w:spacing w:line="276" w:lineRule="auto"/>
        <w:jc w:val="center"/>
        <w:outlineLvl w:val="0"/>
        <w:rPr>
          <w:rFonts w:cs="Arial"/>
          <w:b/>
          <w:i/>
          <w:u w:val="single"/>
          <w:lang w:val="pt-BR"/>
        </w:rPr>
      </w:pPr>
      <w:r w:rsidRPr="00D7315D">
        <w:rPr>
          <w:rFonts w:cs="Arial"/>
          <w:b/>
          <w:i/>
          <w:u w:val="single"/>
          <w:lang w:val="pt-BR"/>
        </w:rPr>
        <w:t>Bilješke uz Financijske izvještaje za razdoblje</w:t>
      </w:r>
    </w:p>
    <w:p w14:paraId="28359063" w14:textId="4A8D3518" w:rsidR="00A650CE" w:rsidRDefault="004C3F7B" w:rsidP="00E26AA5">
      <w:pPr>
        <w:spacing w:line="276" w:lineRule="auto"/>
        <w:jc w:val="center"/>
        <w:outlineLvl w:val="0"/>
        <w:rPr>
          <w:rFonts w:cs="Arial"/>
          <w:b/>
          <w:i/>
          <w:u w:val="single"/>
          <w:lang w:val="pt-BR"/>
        </w:rPr>
      </w:pPr>
      <w:r w:rsidRPr="00D7315D">
        <w:rPr>
          <w:rFonts w:cs="Arial"/>
          <w:b/>
          <w:i/>
          <w:u w:val="single"/>
          <w:lang w:val="pt-BR"/>
        </w:rPr>
        <w:t>od 01. siječnja do 3</w:t>
      </w:r>
      <w:r w:rsidR="0071637D">
        <w:rPr>
          <w:rFonts w:cs="Arial"/>
          <w:b/>
          <w:i/>
          <w:u w:val="single"/>
          <w:lang w:val="pt-BR"/>
        </w:rPr>
        <w:t>1</w:t>
      </w:r>
      <w:r w:rsidR="00B265F7" w:rsidRPr="00D7315D">
        <w:rPr>
          <w:rFonts w:cs="Arial"/>
          <w:b/>
          <w:i/>
          <w:u w:val="single"/>
          <w:lang w:val="pt-BR"/>
        </w:rPr>
        <w:t xml:space="preserve">. </w:t>
      </w:r>
      <w:r w:rsidR="0071637D">
        <w:rPr>
          <w:rFonts w:cs="Arial"/>
          <w:b/>
          <w:i/>
          <w:u w:val="single"/>
          <w:lang w:val="pt-BR"/>
        </w:rPr>
        <w:t>prosinc</w:t>
      </w:r>
      <w:r w:rsidR="00534848">
        <w:rPr>
          <w:rFonts w:cs="Arial"/>
          <w:b/>
          <w:i/>
          <w:u w:val="single"/>
          <w:lang w:val="pt-BR"/>
        </w:rPr>
        <w:t>a</w:t>
      </w:r>
      <w:r w:rsidR="00B265F7" w:rsidRPr="00D7315D">
        <w:rPr>
          <w:rFonts w:cs="Arial"/>
          <w:b/>
          <w:i/>
          <w:u w:val="single"/>
          <w:lang w:val="pt-BR"/>
        </w:rPr>
        <w:t xml:space="preserve"> 20</w:t>
      </w:r>
      <w:r w:rsidR="00BB306F" w:rsidRPr="00D7315D">
        <w:rPr>
          <w:rFonts w:cs="Arial"/>
          <w:b/>
          <w:i/>
          <w:u w:val="single"/>
          <w:lang w:val="pt-BR"/>
        </w:rPr>
        <w:t>2</w:t>
      </w:r>
      <w:r w:rsidR="00704DBF">
        <w:rPr>
          <w:rFonts w:cs="Arial"/>
          <w:b/>
          <w:i/>
          <w:u w:val="single"/>
          <w:lang w:val="pt-BR"/>
        </w:rPr>
        <w:t>4</w:t>
      </w:r>
      <w:r w:rsidR="00B265F7" w:rsidRPr="00D7315D">
        <w:rPr>
          <w:rFonts w:cs="Arial"/>
          <w:b/>
          <w:i/>
          <w:u w:val="single"/>
          <w:lang w:val="pt-BR"/>
        </w:rPr>
        <w:t xml:space="preserve">. </w:t>
      </w:r>
      <w:r w:rsidR="00704DBF">
        <w:rPr>
          <w:rFonts w:cs="Arial"/>
          <w:b/>
          <w:i/>
          <w:u w:val="single"/>
          <w:lang w:val="pt-BR"/>
        </w:rPr>
        <w:t>g</w:t>
      </w:r>
      <w:r w:rsidR="00B265F7" w:rsidRPr="00D7315D">
        <w:rPr>
          <w:rFonts w:cs="Arial"/>
          <w:b/>
          <w:i/>
          <w:u w:val="single"/>
          <w:lang w:val="pt-BR"/>
        </w:rPr>
        <w:t>od</w:t>
      </w:r>
      <w:r w:rsidR="00884942" w:rsidRPr="00D7315D">
        <w:rPr>
          <w:rFonts w:cs="Arial"/>
          <w:b/>
          <w:i/>
          <w:u w:val="single"/>
          <w:lang w:val="pt-BR"/>
        </w:rPr>
        <w:t>ine</w:t>
      </w:r>
    </w:p>
    <w:p w14:paraId="0CFA5331" w14:textId="77777777" w:rsidR="00AC2B85" w:rsidRDefault="00AC2B85" w:rsidP="00CA0D8C">
      <w:pPr>
        <w:spacing w:line="276" w:lineRule="auto"/>
        <w:jc w:val="both"/>
        <w:outlineLvl w:val="0"/>
        <w:rPr>
          <w:rFonts w:cs="Arial"/>
          <w:b/>
          <w:i/>
          <w:u w:val="single"/>
          <w:lang w:val="pt-BR"/>
        </w:rPr>
      </w:pPr>
    </w:p>
    <w:p w14:paraId="55F674EF" w14:textId="77777777" w:rsidR="00AC2B85" w:rsidRDefault="00AC2B85" w:rsidP="00CA0D8C">
      <w:pPr>
        <w:spacing w:line="276" w:lineRule="auto"/>
        <w:jc w:val="both"/>
        <w:outlineLvl w:val="0"/>
        <w:rPr>
          <w:rFonts w:cs="Arial"/>
          <w:b/>
          <w:i/>
          <w:u w:val="single"/>
          <w:lang w:val="pt-BR"/>
        </w:rPr>
      </w:pPr>
    </w:p>
    <w:p w14:paraId="5F42317A" w14:textId="7A5625D6" w:rsidR="008D7E28" w:rsidRPr="002D27AB" w:rsidRDefault="008D7E28" w:rsidP="00CA0D8C">
      <w:pPr>
        <w:spacing w:line="276" w:lineRule="auto"/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color w:val="000000"/>
          <w:lang w:val="hr-HR"/>
        </w:rPr>
        <w:t xml:space="preserve">Agencija je osnovana je na temelju odredaba Zakona o poticanju razvoja malog gospodarstva (Narodne novine 29/02). Zakonom o izmjenama i dopunama Zakona o poticanju razvoja malog gospodarstva (Narodne novine 53/12) Hrvatska agencija za malo gospodarstvo promijenila je naziv u Hrvatska agencija za malo gospodarstvo i investicije (HAMAG INVEST). </w:t>
      </w:r>
      <w:r>
        <w:rPr>
          <w:rFonts w:asciiTheme="majorHAnsi" w:hAnsiTheme="majorHAnsi" w:cstheme="majorHAnsi"/>
          <w:color w:val="000000"/>
          <w:lang w:val="hr-HR"/>
        </w:rPr>
        <w:t>T</w:t>
      </w:r>
      <w:r w:rsidRPr="002D27AB">
        <w:rPr>
          <w:rFonts w:asciiTheme="majorHAnsi" w:hAnsiTheme="majorHAnsi" w:cstheme="majorHAnsi"/>
          <w:color w:val="000000"/>
          <w:lang w:val="hr-HR"/>
        </w:rPr>
        <w:t>emelj</w:t>
      </w:r>
      <w:r>
        <w:rPr>
          <w:rFonts w:asciiTheme="majorHAnsi" w:hAnsiTheme="majorHAnsi" w:cstheme="majorHAnsi"/>
          <w:color w:val="000000"/>
          <w:lang w:val="hr-HR"/>
        </w:rPr>
        <w:t>em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odredaba Zakona o izmjenama i dopunama Zakona o poticanju razvoja malog gospodarstva (Narodne novine 56/13) i Ugovora o pripajanju Poslovno-inovacijske agencije Republike Hrvatske (BICRO) Hrvatskoj agenciji za malo gospodarstvo i investicije (HAMAG INVEST) od 8. travnja 2014., provedeno je pripajanje Poslovno-inovacijske agencije Republike Hrvatske (BICRO) Hrvatskoj agenciji za malo gospodarstvo i investicije (HAMAG INVEST) te je Hrvatska agencija za malo gospodarstvo i investicije promijenila naziv u Hrvatsku agenciju za malo gospodarstvo, inovacije i investicije (skraćeni naziv: HAMAG – BICRO). </w:t>
      </w:r>
    </w:p>
    <w:p w14:paraId="0970FCCD" w14:textId="77777777" w:rsidR="008D7E28" w:rsidRPr="002D27AB" w:rsidRDefault="008D7E28" w:rsidP="00CA0D8C">
      <w:pPr>
        <w:spacing w:line="276" w:lineRule="auto"/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</w:p>
    <w:p w14:paraId="4E9EF207" w14:textId="6FC4D307" w:rsidR="008D7E28" w:rsidRPr="002D27AB" w:rsidRDefault="008D7E28" w:rsidP="00CA0D8C">
      <w:pPr>
        <w:spacing w:line="276" w:lineRule="auto"/>
        <w:jc w:val="both"/>
        <w:outlineLvl w:val="0"/>
        <w:rPr>
          <w:rStyle w:val="fontstyle01"/>
          <w:rFonts w:asciiTheme="majorHAnsi" w:hAnsiTheme="majorHAnsi" w:cstheme="majorHAnsi"/>
          <w:lang w:val="hr-HR"/>
        </w:rPr>
      </w:pPr>
      <w:r w:rsidRPr="002D27AB">
        <w:rPr>
          <w:rStyle w:val="fontstyle01"/>
          <w:rFonts w:asciiTheme="majorHAnsi" w:hAnsiTheme="majorHAnsi" w:cstheme="majorHAnsi"/>
          <w:lang w:val="hr-HR"/>
        </w:rPr>
        <w:t>Hrvatska agencija za malo gospodarstvo, inovacije i investicije, HAMAG-BICRO najveća je agencija za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poticanje poduzetništva u Republici Hrvatskoj, a osnovana je s ciljem pružanja kvalitetne potpore u poslovanju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subjekata malog i srednjeg gospodarstva, što omogućava lakši i brži ekonomski razvoj na nacionalnoj razini.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Osiguravajući podršku infrastrukturnim i intelektualnim kapacitetima poduzetničkog sektora, poboljšava se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produktivnost u nacionalnom gospodarstvu, a standardi kvalitete se podižu na višu razinu. Cjelokupna djelatnost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Agencije usmjerena je na razvoj malog i srednjeg poduzetništva, privlačenje investicija i unapređenje investicijskog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okruženja. Niz je aktivnosti i mjera kojima HAMAG-BICRO potiče razvoj poduzetništva i konkurentnost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g</w:t>
      </w:r>
      <w:r w:rsidRPr="002D27AB">
        <w:rPr>
          <w:rStyle w:val="fontstyle01"/>
          <w:rFonts w:asciiTheme="majorHAnsi" w:hAnsiTheme="majorHAnsi" w:cstheme="majorHAnsi"/>
          <w:lang w:val="hr-HR"/>
        </w:rPr>
        <w:t xml:space="preserve">ospodarskih subjekata od kojih su svakako najprepoznatljiviji izdavanje jamstava, </w:t>
      </w:r>
      <w:r w:rsidR="00D7678A">
        <w:rPr>
          <w:rStyle w:val="fontstyle01"/>
          <w:rFonts w:asciiTheme="majorHAnsi" w:hAnsiTheme="majorHAnsi" w:cstheme="majorHAnsi"/>
          <w:lang w:val="hr-HR"/>
        </w:rPr>
        <w:t xml:space="preserve">plasiranju zajmova te </w:t>
      </w:r>
      <w:r w:rsidRPr="002D27AB">
        <w:rPr>
          <w:rStyle w:val="fontstyle01"/>
          <w:rFonts w:asciiTheme="majorHAnsi" w:hAnsiTheme="majorHAnsi" w:cstheme="majorHAnsi"/>
          <w:lang w:val="hr-HR"/>
        </w:rPr>
        <w:t>bespovratn</w:t>
      </w:r>
      <w:r w:rsidR="00D7678A">
        <w:rPr>
          <w:rStyle w:val="fontstyle01"/>
          <w:rFonts w:asciiTheme="majorHAnsi" w:hAnsiTheme="majorHAnsi" w:cstheme="majorHAnsi"/>
          <w:lang w:val="hr-HR"/>
        </w:rPr>
        <w:t>e</w:t>
      </w:r>
      <w:r w:rsidRPr="002D27AB">
        <w:rPr>
          <w:rStyle w:val="fontstyle01"/>
          <w:rFonts w:asciiTheme="majorHAnsi" w:hAnsiTheme="majorHAnsi" w:cstheme="majorHAnsi"/>
          <w:lang w:val="hr-HR"/>
        </w:rPr>
        <w:t xml:space="preserve"> potpor</w:t>
      </w:r>
      <w:r w:rsidR="00D7678A">
        <w:rPr>
          <w:rStyle w:val="fontstyle01"/>
          <w:rFonts w:asciiTheme="majorHAnsi" w:hAnsiTheme="majorHAnsi" w:cstheme="majorHAnsi"/>
          <w:lang w:val="hr-HR"/>
        </w:rPr>
        <w:t>e</w:t>
      </w:r>
      <w:r w:rsidRPr="002D27AB">
        <w:rPr>
          <w:rStyle w:val="fontstyle01"/>
          <w:rFonts w:asciiTheme="majorHAnsi" w:hAnsiTheme="majorHAnsi" w:cstheme="majorHAnsi"/>
          <w:lang w:val="hr-HR"/>
        </w:rPr>
        <w:t>.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Programe i aktivnosti HAMAG-BICRO kreira sukladno zahtjevima i potrebama tržišta, kako bi njihova namjena</w:t>
      </w:r>
      <w:r w:rsidRPr="002D27AB">
        <w:rPr>
          <w:rFonts w:asciiTheme="majorHAnsi" w:hAnsiTheme="majorHAnsi" w:cstheme="majorHAnsi"/>
          <w:color w:val="000000"/>
          <w:lang w:val="hr-HR"/>
        </w:rPr>
        <w:br/>
      </w:r>
      <w:r w:rsidRPr="002D27AB">
        <w:rPr>
          <w:rStyle w:val="fontstyle01"/>
          <w:rFonts w:asciiTheme="majorHAnsi" w:hAnsiTheme="majorHAnsi" w:cstheme="majorHAnsi"/>
          <w:lang w:val="hr-HR"/>
        </w:rPr>
        <w:t>bila ostvarena uspješnom suradnjom s domaćim i inozemnim partnerima. HAMAG-BICRO kontinuirano ulaže 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jačanje vlastitih kapaciteta koje ga čine neizostavnom karikom razvoja maloga i srednjega poduzetništva. Ulaskom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>Republike Hrvatske u Europsku uniju Agencija je dobila važnu ulogu provedbenog tijela druge razine za provedbu</w:t>
      </w:r>
      <w:r w:rsidRPr="002D27AB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2D27AB">
        <w:rPr>
          <w:rStyle w:val="fontstyle01"/>
          <w:rFonts w:asciiTheme="majorHAnsi" w:hAnsiTheme="majorHAnsi" w:cstheme="majorHAnsi"/>
          <w:lang w:val="hr-HR"/>
        </w:rPr>
        <w:t xml:space="preserve">Europskih strukturnih i investicijskih (ESI) fondova. </w:t>
      </w:r>
      <w:r>
        <w:rPr>
          <w:rStyle w:val="fontstyle01"/>
          <w:rFonts w:asciiTheme="majorHAnsi" w:hAnsiTheme="majorHAnsi" w:cstheme="majorHAnsi"/>
          <w:lang w:val="hr-HR"/>
        </w:rPr>
        <w:t>Također veliku ulogu ima i u provođenju Financijskih instrumenata iz različitih izvora.</w:t>
      </w:r>
    </w:p>
    <w:p w14:paraId="2BA475A6" w14:textId="77777777" w:rsidR="008D7E28" w:rsidRPr="00D7315D" w:rsidRDefault="008D7E28" w:rsidP="00CA0D8C">
      <w:pPr>
        <w:spacing w:line="276" w:lineRule="auto"/>
        <w:ind w:firstLine="709"/>
        <w:jc w:val="center"/>
        <w:outlineLvl w:val="0"/>
        <w:rPr>
          <w:rStyle w:val="fontstyle01"/>
          <w:rFonts w:ascii="Calibri" w:hAnsi="Calibri" w:cs="Arial"/>
          <w:b/>
          <w:i/>
          <w:color w:val="auto"/>
          <w:u w:val="single"/>
          <w:lang w:val="pt-BR"/>
        </w:rPr>
      </w:pPr>
    </w:p>
    <w:p w14:paraId="0474EDCC" w14:textId="14D3505A" w:rsidR="009979C6" w:rsidRDefault="009979C6" w:rsidP="00CA0D8C">
      <w:pPr>
        <w:spacing w:line="276" w:lineRule="auto"/>
        <w:jc w:val="both"/>
        <w:outlineLvl w:val="0"/>
        <w:rPr>
          <w:rStyle w:val="fontstyle01"/>
          <w:lang w:val="pt-BR"/>
        </w:rPr>
      </w:pPr>
    </w:p>
    <w:p w14:paraId="35581F99" w14:textId="77777777" w:rsidR="008D7E28" w:rsidRDefault="008D7E28" w:rsidP="00CA0D8C">
      <w:pPr>
        <w:spacing w:line="276" w:lineRule="auto"/>
        <w:jc w:val="both"/>
        <w:outlineLvl w:val="0"/>
        <w:rPr>
          <w:rStyle w:val="fontstyle01"/>
          <w:lang w:val="pt-BR"/>
        </w:rPr>
      </w:pPr>
    </w:p>
    <w:p w14:paraId="478E1445" w14:textId="77777777" w:rsidR="009979C6" w:rsidRPr="00CA0D8C" w:rsidRDefault="009979C6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/>
          <w:noProof/>
          <w:u w:val="single"/>
          <w:lang w:val="hr-HR" w:eastAsia="hr-HR"/>
        </w:rPr>
      </w:pPr>
      <w:r w:rsidRPr="00CA0D8C">
        <w:rPr>
          <w:rFonts w:asciiTheme="majorHAnsi" w:eastAsia="Times New Roman" w:hAnsiTheme="majorHAnsi" w:cstheme="majorHAnsi"/>
          <w:b/>
          <w:noProof/>
          <w:u w:val="single"/>
          <w:lang w:val="hr-HR" w:eastAsia="hr-HR"/>
        </w:rPr>
        <w:t>Bilješke uz Izvještaj PR-RAS</w:t>
      </w:r>
    </w:p>
    <w:p w14:paraId="30AC7176" w14:textId="77777777" w:rsidR="009979C6" w:rsidRPr="00CA0D8C" w:rsidRDefault="009979C6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</w:p>
    <w:p w14:paraId="62897FE6" w14:textId="3D30AFF3" w:rsidR="009979C6" w:rsidRPr="00CA0D8C" w:rsidRDefault="009979C6" w:rsidP="00CA0D8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/>
          <w:noProof/>
          <w:lang w:val="hr-HR" w:eastAsia="hr-HR"/>
        </w:rPr>
      </w:pPr>
      <w:r w:rsidRPr="00CA0D8C">
        <w:rPr>
          <w:rFonts w:asciiTheme="majorHAnsi" w:eastAsia="Times New Roman" w:hAnsiTheme="majorHAnsi" w:cstheme="majorHAnsi"/>
          <w:b/>
          <w:noProof/>
          <w:lang w:val="hr-HR" w:eastAsia="hr-HR"/>
        </w:rPr>
        <w:t>PRIHODI</w:t>
      </w:r>
    </w:p>
    <w:p w14:paraId="0FDAC4D6" w14:textId="77777777" w:rsidR="0033539F" w:rsidRPr="00CA0D8C" w:rsidRDefault="0033539F" w:rsidP="00CA0D8C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jc w:val="both"/>
        <w:rPr>
          <w:rFonts w:asciiTheme="majorHAnsi" w:eastAsia="Times New Roman" w:hAnsiTheme="majorHAnsi" w:cstheme="majorHAnsi"/>
          <w:b/>
          <w:noProof/>
          <w:lang w:val="hr-HR" w:eastAsia="hr-HR"/>
        </w:rPr>
      </w:pPr>
    </w:p>
    <w:p w14:paraId="28625ACE" w14:textId="1EA5E30D" w:rsidR="009979C6" w:rsidRPr="00CA0D8C" w:rsidRDefault="009979C6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CA0D8C">
        <w:rPr>
          <w:rFonts w:asciiTheme="majorHAnsi" w:eastAsia="Times New Roman" w:hAnsiTheme="majorHAnsi" w:cstheme="majorHAnsi"/>
          <w:noProof/>
          <w:lang w:val="hr-HR" w:eastAsia="hr-HR"/>
        </w:rPr>
        <w:t>U razdoblju od 01.01.202</w:t>
      </w:r>
      <w:r w:rsidR="00FE4935"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Pr="00CA0D8C">
        <w:rPr>
          <w:rFonts w:asciiTheme="majorHAnsi" w:eastAsia="Times New Roman" w:hAnsiTheme="majorHAnsi" w:cstheme="majorHAnsi"/>
          <w:noProof/>
          <w:lang w:val="hr-HR" w:eastAsia="hr-HR"/>
        </w:rPr>
        <w:t xml:space="preserve">. </w:t>
      </w:r>
      <w:r w:rsidR="00367B8B">
        <w:rPr>
          <w:rFonts w:asciiTheme="majorHAnsi" w:eastAsia="Times New Roman" w:hAnsiTheme="majorHAnsi" w:cstheme="majorHAnsi"/>
          <w:noProof/>
          <w:lang w:val="hr-HR" w:eastAsia="hr-HR"/>
        </w:rPr>
        <w:t xml:space="preserve">- </w:t>
      </w:r>
      <w:r w:rsidR="00CC188B" w:rsidRPr="00CA0D8C">
        <w:rPr>
          <w:rFonts w:asciiTheme="majorHAnsi" w:eastAsia="Times New Roman" w:hAnsiTheme="majorHAnsi" w:cstheme="majorHAnsi"/>
          <w:noProof/>
          <w:lang w:val="hr-HR" w:eastAsia="hr-HR"/>
        </w:rPr>
        <w:t>3</w:t>
      </w:r>
      <w:r w:rsidR="0071637D" w:rsidRPr="00CA0D8C">
        <w:rPr>
          <w:rFonts w:asciiTheme="majorHAnsi" w:eastAsia="Times New Roman" w:hAnsiTheme="majorHAnsi" w:cstheme="majorHAnsi"/>
          <w:noProof/>
          <w:lang w:val="hr-HR" w:eastAsia="hr-HR"/>
        </w:rPr>
        <w:t>1</w:t>
      </w:r>
      <w:r w:rsidR="00CC188B" w:rsidRPr="00CA0D8C">
        <w:rPr>
          <w:rFonts w:asciiTheme="majorHAnsi" w:eastAsia="Times New Roman" w:hAnsiTheme="majorHAnsi" w:cstheme="majorHAnsi"/>
          <w:noProof/>
          <w:lang w:val="hr-HR" w:eastAsia="hr-HR"/>
        </w:rPr>
        <w:t>.</w:t>
      </w:r>
      <w:r w:rsidR="0071637D" w:rsidRPr="00CA0D8C">
        <w:rPr>
          <w:rFonts w:asciiTheme="majorHAnsi" w:eastAsia="Times New Roman" w:hAnsiTheme="majorHAnsi" w:cstheme="majorHAnsi"/>
          <w:noProof/>
          <w:lang w:val="hr-HR" w:eastAsia="hr-HR"/>
        </w:rPr>
        <w:t>12</w:t>
      </w:r>
      <w:r w:rsidR="00CC188B" w:rsidRPr="00CA0D8C">
        <w:rPr>
          <w:rFonts w:asciiTheme="majorHAnsi" w:eastAsia="Times New Roman" w:hAnsiTheme="majorHAnsi" w:cstheme="majorHAnsi"/>
          <w:noProof/>
          <w:lang w:val="hr-HR" w:eastAsia="hr-HR"/>
        </w:rPr>
        <w:t>.202</w:t>
      </w:r>
      <w:r w:rsidR="00FE4935"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="00CC188B" w:rsidRPr="00CA0D8C">
        <w:rPr>
          <w:rFonts w:asciiTheme="majorHAnsi" w:eastAsia="Times New Roman" w:hAnsiTheme="majorHAnsi" w:cstheme="majorHAnsi"/>
          <w:noProof/>
          <w:lang w:val="hr-HR" w:eastAsia="hr-HR"/>
        </w:rPr>
        <w:t>.</w:t>
      </w:r>
      <w:r w:rsidRPr="00CA0D8C">
        <w:rPr>
          <w:rFonts w:asciiTheme="majorHAnsi" w:eastAsia="Times New Roman" w:hAnsiTheme="majorHAnsi" w:cstheme="majorHAnsi"/>
          <w:noProof/>
          <w:lang w:val="hr-HR" w:eastAsia="hr-HR"/>
        </w:rPr>
        <w:t xml:space="preserve"> godine ostvareni su ukupni prihodi u iznosu od </w:t>
      </w:r>
      <w:r w:rsidR="00445EA6" w:rsidRPr="00CA0D8C">
        <w:rPr>
          <w:rFonts w:asciiTheme="majorHAnsi" w:eastAsia="Times New Roman" w:hAnsiTheme="majorHAnsi" w:cstheme="majorHAnsi"/>
          <w:noProof/>
          <w:lang w:val="hr-HR" w:eastAsia="hr-HR"/>
        </w:rPr>
        <w:t>3</w:t>
      </w:r>
      <w:r w:rsidR="007F2629">
        <w:rPr>
          <w:rFonts w:asciiTheme="majorHAnsi" w:eastAsia="Times New Roman" w:hAnsiTheme="majorHAnsi" w:cstheme="majorHAnsi"/>
          <w:noProof/>
          <w:lang w:val="hr-HR" w:eastAsia="hr-HR"/>
        </w:rPr>
        <w:t>3</w:t>
      </w:r>
      <w:r w:rsidR="005D6A89" w:rsidRPr="00CA0D8C">
        <w:rPr>
          <w:rFonts w:asciiTheme="majorHAnsi" w:eastAsia="Times New Roman" w:hAnsiTheme="majorHAnsi" w:cstheme="majorHAnsi"/>
          <w:noProof/>
          <w:lang w:val="hr-HR" w:eastAsia="hr-HR"/>
        </w:rPr>
        <w:t>.</w:t>
      </w:r>
      <w:r w:rsidR="007F2629">
        <w:rPr>
          <w:rFonts w:asciiTheme="majorHAnsi" w:eastAsia="Times New Roman" w:hAnsiTheme="majorHAnsi" w:cstheme="majorHAnsi"/>
          <w:noProof/>
          <w:lang w:val="hr-HR" w:eastAsia="hr-HR"/>
        </w:rPr>
        <w:t>268</w:t>
      </w:r>
      <w:r w:rsidR="00445EA6" w:rsidRPr="00CA0D8C">
        <w:rPr>
          <w:rFonts w:asciiTheme="majorHAnsi" w:eastAsia="Times New Roman" w:hAnsiTheme="majorHAnsi" w:cstheme="majorHAnsi"/>
          <w:noProof/>
          <w:lang w:val="hr-HR" w:eastAsia="hr-HR"/>
        </w:rPr>
        <w:t>.3</w:t>
      </w:r>
      <w:r w:rsidR="007F2629">
        <w:rPr>
          <w:rFonts w:asciiTheme="majorHAnsi" w:eastAsia="Times New Roman" w:hAnsiTheme="majorHAnsi" w:cstheme="majorHAnsi"/>
          <w:noProof/>
          <w:lang w:val="hr-HR" w:eastAsia="hr-HR"/>
        </w:rPr>
        <w:t>89</w:t>
      </w:r>
      <w:r w:rsidR="00445EA6" w:rsidRPr="00CA0D8C">
        <w:rPr>
          <w:rFonts w:asciiTheme="majorHAnsi" w:eastAsia="Times New Roman" w:hAnsiTheme="majorHAnsi" w:cstheme="majorHAnsi"/>
          <w:noProof/>
          <w:lang w:val="hr-HR" w:eastAsia="hr-HR"/>
        </w:rPr>
        <w:t>,1</w:t>
      </w:r>
      <w:r w:rsidR="007F2629">
        <w:rPr>
          <w:rFonts w:asciiTheme="majorHAnsi" w:eastAsia="Times New Roman" w:hAnsiTheme="majorHAnsi" w:cstheme="majorHAnsi"/>
          <w:noProof/>
          <w:lang w:val="hr-HR" w:eastAsia="hr-HR"/>
        </w:rPr>
        <w:t>0</w:t>
      </w:r>
      <w:r w:rsidR="00B2722B" w:rsidRPr="00CA0D8C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 w:rsidR="003A7308" w:rsidRPr="00CA0D8C">
        <w:rPr>
          <w:rFonts w:asciiTheme="majorHAnsi" w:eastAsia="Times New Roman" w:hAnsiTheme="majorHAnsi" w:cstheme="majorHAnsi"/>
          <w:noProof/>
          <w:lang w:val="hr-HR" w:eastAsia="hr-HR"/>
        </w:rPr>
        <w:t>EUR</w:t>
      </w:r>
      <w:r w:rsidR="00254E24" w:rsidRPr="00CA0D8C">
        <w:rPr>
          <w:rFonts w:asciiTheme="majorHAnsi" w:eastAsia="Times New Roman" w:hAnsiTheme="majorHAnsi" w:cstheme="majorHAnsi"/>
          <w:noProof/>
          <w:lang w:val="hr-HR" w:eastAsia="hr-HR"/>
        </w:rPr>
        <w:t>,</w:t>
      </w:r>
      <w:r w:rsidR="002A4C36" w:rsidRPr="00CA0D8C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 w:rsidRPr="00CA0D8C">
        <w:rPr>
          <w:rFonts w:asciiTheme="majorHAnsi" w:eastAsia="Times New Roman" w:hAnsiTheme="majorHAnsi" w:cstheme="majorHAnsi"/>
          <w:noProof/>
          <w:lang w:val="hr-HR" w:eastAsia="hr-HR"/>
        </w:rPr>
        <w:t>a odnose se na:</w:t>
      </w:r>
    </w:p>
    <w:p w14:paraId="79C5690A" w14:textId="77777777" w:rsidR="00534848" w:rsidRPr="00CA0D8C" w:rsidRDefault="00534848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2600"/>
        <w:gridCol w:w="2420"/>
        <w:gridCol w:w="2420"/>
        <w:gridCol w:w="1040"/>
      </w:tblGrid>
      <w:tr w:rsidR="00000758" w:rsidRPr="00000758" w14:paraId="48360B36" w14:textId="77777777" w:rsidTr="00000758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B332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Prihodi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3A36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2023.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1A88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2024.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C958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000758" w:rsidRPr="00000758" w14:paraId="76CD2321" w14:textId="77777777" w:rsidTr="0000075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F314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PRIHODI POSLOVANJA (6)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25A6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31.547.342,12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B33E9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33.268.389,10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4CFC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105,5</w:t>
            </w:r>
          </w:p>
        </w:tc>
      </w:tr>
      <w:tr w:rsidR="00000758" w:rsidRPr="00000758" w14:paraId="38717AA6" w14:textId="77777777" w:rsidTr="00000758">
        <w:trPr>
          <w:trHeight w:val="84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A30C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Pomoći iz inozemstva i od subjekata unutar općeg proračuna (63)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0D926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12.323.240,60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862F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14.804.403,69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8AD3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120,1</w:t>
            </w:r>
          </w:p>
        </w:tc>
      </w:tr>
      <w:tr w:rsidR="00000758" w:rsidRPr="00000758" w14:paraId="59DB7090" w14:textId="77777777" w:rsidTr="00000758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FC68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Prihodi od imovine (64)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1446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5.100.535,26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89E2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8.355.388,06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95BE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163,8</w:t>
            </w:r>
          </w:p>
        </w:tc>
      </w:tr>
      <w:tr w:rsidR="00000758" w:rsidRPr="00000758" w14:paraId="223F04B9" w14:textId="77777777" w:rsidTr="00000758">
        <w:trPr>
          <w:trHeight w:val="139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3CA6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Prihodi od prodaje proizvoda i robe te pruženih usluga, prihodi od donacija te povrati po protestiranim jamstvima (66)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7B35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326.528,80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5DFE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255.777,39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CCE3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78,3</w:t>
            </w:r>
          </w:p>
        </w:tc>
      </w:tr>
      <w:tr w:rsidR="00000758" w:rsidRPr="00000758" w14:paraId="10054B5D" w14:textId="77777777" w:rsidTr="00000758">
        <w:trPr>
          <w:trHeight w:val="1116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E208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Prihodi iz nadležnog proračuna i  od HZZO-a na temelju ugovornih obveza  (67)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028EB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13.792.168,95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E9B4E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9.852.310,71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8FAAB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71,4</w:t>
            </w:r>
          </w:p>
        </w:tc>
      </w:tr>
      <w:tr w:rsidR="00000758" w:rsidRPr="00000758" w14:paraId="6A0DD87E" w14:textId="77777777" w:rsidTr="00000758">
        <w:trPr>
          <w:trHeight w:val="564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EF13" w14:textId="77777777" w:rsidR="00000758" w:rsidRPr="00000758" w:rsidRDefault="00000758" w:rsidP="00000758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Kazne, upravne mjere i ostali prihodi (68)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87FE5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4.868,51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65C8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509,25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9195" w14:textId="77777777" w:rsidR="00000758" w:rsidRPr="00000758" w:rsidRDefault="00000758" w:rsidP="00000758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00075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10,5</w:t>
            </w:r>
          </w:p>
        </w:tc>
      </w:tr>
    </w:tbl>
    <w:p w14:paraId="60426521" w14:textId="5E94C804" w:rsidR="009979C6" w:rsidRDefault="009979C6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Calibri" w:hAnsiTheme="majorHAnsi" w:cstheme="majorHAnsi"/>
          <w:noProof/>
          <w:color w:val="FF0000"/>
          <w:lang w:val="hr-HR" w:eastAsia="hr-HR"/>
        </w:rPr>
      </w:pPr>
    </w:p>
    <w:p w14:paraId="04E4564F" w14:textId="77777777" w:rsidR="00575DE0" w:rsidRPr="00CA0D8C" w:rsidRDefault="00575DE0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Calibri" w:hAnsiTheme="majorHAnsi" w:cstheme="majorHAnsi"/>
          <w:noProof/>
          <w:color w:val="FF0000"/>
          <w:lang w:val="hr-HR" w:eastAsia="hr-HR"/>
        </w:rPr>
      </w:pPr>
    </w:p>
    <w:p w14:paraId="69EA9479" w14:textId="1D75FBE5" w:rsidR="008E1E4F" w:rsidRPr="00923D26" w:rsidRDefault="009979C6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U odnosu na </w:t>
      </w:r>
      <w:r w:rsidR="008E1E4F" w:rsidRPr="00923D26">
        <w:rPr>
          <w:rFonts w:asciiTheme="majorHAnsi" w:eastAsia="Times New Roman" w:hAnsiTheme="majorHAnsi" w:cstheme="majorHAnsi"/>
          <w:noProof/>
          <w:lang w:val="hr-HR" w:eastAsia="hr-HR"/>
        </w:rPr>
        <w:t>202</w:t>
      </w:r>
      <w:r w:rsidR="00FE4935">
        <w:rPr>
          <w:rFonts w:asciiTheme="majorHAnsi" w:eastAsia="Times New Roman" w:hAnsiTheme="majorHAnsi" w:cstheme="majorHAnsi"/>
          <w:noProof/>
          <w:lang w:val="hr-HR" w:eastAsia="hr-HR"/>
        </w:rPr>
        <w:t>3</w:t>
      </w:r>
      <w:r w:rsidR="008E1E4F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. godinu 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prihodi </w:t>
      </w:r>
      <w:r w:rsidR="008E1E4F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poslovanja </w:t>
      </w:r>
      <w:r w:rsidR="0015700D">
        <w:rPr>
          <w:rFonts w:asciiTheme="majorHAnsi" w:eastAsia="Times New Roman" w:hAnsiTheme="majorHAnsi" w:cstheme="majorHAnsi"/>
          <w:noProof/>
          <w:lang w:val="hr-HR" w:eastAsia="hr-HR"/>
        </w:rPr>
        <w:t xml:space="preserve">uvećani za </w:t>
      </w:r>
      <w:r w:rsidR="006C00B9">
        <w:rPr>
          <w:rFonts w:asciiTheme="majorHAnsi" w:eastAsia="Times New Roman" w:hAnsiTheme="majorHAnsi" w:cstheme="majorHAnsi"/>
          <w:noProof/>
          <w:lang w:val="hr-HR" w:eastAsia="hr-HR"/>
        </w:rPr>
        <w:t>5</w:t>
      </w:r>
      <w:r w:rsidR="0015700D">
        <w:rPr>
          <w:rFonts w:asciiTheme="majorHAnsi" w:eastAsia="Times New Roman" w:hAnsiTheme="majorHAnsi" w:cstheme="majorHAnsi"/>
          <w:noProof/>
          <w:lang w:val="hr-HR" w:eastAsia="hr-HR"/>
        </w:rPr>
        <w:t>,</w:t>
      </w:r>
      <w:r w:rsidR="006C00B9">
        <w:rPr>
          <w:rFonts w:asciiTheme="majorHAnsi" w:eastAsia="Times New Roman" w:hAnsiTheme="majorHAnsi" w:cstheme="majorHAnsi"/>
          <w:noProof/>
          <w:lang w:val="hr-HR" w:eastAsia="hr-HR"/>
        </w:rPr>
        <w:t>5</w:t>
      </w:r>
      <w:r w:rsidR="0015700D">
        <w:rPr>
          <w:rFonts w:asciiTheme="majorHAnsi" w:eastAsia="Times New Roman" w:hAnsiTheme="majorHAnsi" w:cstheme="majorHAnsi"/>
          <w:noProof/>
          <w:lang w:val="hr-HR" w:eastAsia="hr-HR"/>
        </w:rPr>
        <w:t>%.</w:t>
      </w:r>
      <w:r w:rsidR="00755B89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</w:p>
    <w:p w14:paraId="5573CC03" w14:textId="21053689" w:rsidR="008E1E4F" w:rsidRPr="00923D26" w:rsidRDefault="008E1E4F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Pomoći iz inozemstva i od subjekata unutar općeg proračuna 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 xml:space="preserve">(63) </w:t>
      </w:r>
      <w:r w:rsidR="006C00B9">
        <w:rPr>
          <w:rFonts w:asciiTheme="majorHAnsi" w:eastAsia="Times New Roman" w:hAnsiTheme="majorHAnsi" w:cstheme="majorHAnsi"/>
          <w:noProof/>
          <w:lang w:val="hr-HR" w:eastAsia="hr-HR"/>
        </w:rPr>
        <w:t>porasli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su za </w:t>
      </w:r>
      <w:r w:rsidR="006C00B9">
        <w:rPr>
          <w:rFonts w:asciiTheme="majorHAnsi" w:eastAsia="Times New Roman" w:hAnsiTheme="majorHAnsi" w:cstheme="majorHAnsi"/>
          <w:noProof/>
          <w:lang w:val="hr-HR" w:eastAsia="hr-HR"/>
        </w:rPr>
        <w:t>20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>,</w:t>
      </w:r>
      <w:r w:rsidR="006C00B9">
        <w:rPr>
          <w:rFonts w:asciiTheme="majorHAnsi" w:eastAsia="Times New Roman" w:hAnsiTheme="majorHAnsi" w:cstheme="majorHAnsi"/>
          <w:noProof/>
          <w:lang w:val="hr-HR" w:eastAsia="hr-HR"/>
        </w:rPr>
        <w:t>1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% 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>radi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>dodijeljen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>ih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sredstva 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 xml:space="preserve">od EU 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>za novo financijsko razdoblje 2021.-2027.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 xml:space="preserve"> godina.</w:t>
      </w:r>
    </w:p>
    <w:p w14:paraId="19A64BFD" w14:textId="04EE4F04" w:rsidR="008D7E28" w:rsidRPr="00923D26" w:rsidRDefault="00534848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>Značajan</w:t>
      </w:r>
      <w:r w:rsidR="00755B89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porast prihoda odnos</w:t>
      </w:r>
      <w:r w:rsidR="0034656A">
        <w:rPr>
          <w:rFonts w:asciiTheme="majorHAnsi" w:eastAsia="Times New Roman" w:hAnsiTheme="majorHAnsi" w:cstheme="majorHAnsi"/>
          <w:noProof/>
          <w:lang w:val="hr-HR" w:eastAsia="hr-HR"/>
        </w:rPr>
        <w:t>i</w:t>
      </w:r>
      <w:r w:rsidR="00755B89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se na Prihode od imovine (64)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od </w:t>
      </w:r>
      <w:r w:rsidR="00B82B8C">
        <w:rPr>
          <w:rFonts w:asciiTheme="majorHAnsi" w:eastAsia="Times New Roman" w:hAnsiTheme="majorHAnsi" w:cstheme="majorHAnsi"/>
          <w:noProof/>
          <w:lang w:val="hr-HR" w:eastAsia="hr-HR"/>
        </w:rPr>
        <w:t>6</w:t>
      </w:r>
      <w:r w:rsidR="00445EA6" w:rsidRPr="00923D26">
        <w:rPr>
          <w:rFonts w:asciiTheme="majorHAnsi" w:eastAsia="Times New Roman" w:hAnsiTheme="majorHAnsi" w:cstheme="majorHAnsi"/>
          <w:noProof/>
          <w:lang w:val="hr-HR" w:eastAsia="hr-HR"/>
        </w:rPr>
        <w:t>3,</w:t>
      </w:r>
      <w:r w:rsidR="00B82B8C">
        <w:rPr>
          <w:rFonts w:asciiTheme="majorHAnsi" w:eastAsia="Times New Roman" w:hAnsiTheme="majorHAnsi" w:cstheme="majorHAnsi"/>
          <w:noProof/>
          <w:lang w:val="hr-HR" w:eastAsia="hr-HR"/>
        </w:rPr>
        <w:t>8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>%</w:t>
      </w:r>
      <w:r w:rsidR="00755B89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zbog naplate kamata od povrata zajmova</w:t>
      </w:r>
      <w:r w:rsidR="00445EA6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i kamata na oročena sredstva</w:t>
      </w:r>
      <w:r w:rsidR="00755B89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. </w:t>
      </w:r>
    </w:p>
    <w:p w14:paraId="0E570DBD" w14:textId="134E6E48" w:rsidR="00F713F1" w:rsidRPr="00923D26" w:rsidRDefault="00B82B8C" w:rsidP="00CA0D8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>
        <w:rPr>
          <w:rFonts w:asciiTheme="majorHAnsi" w:eastAsia="Times New Roman" w:hAnsiTheme="majorHAnsi" w:cstheme="majorHAnsi"/>
          <w:noProof/>
          <w:lang w:val="hr-HR" w:eastAsia="hr-HR"/>
        </w:rPr>
        <w:t>Smanje</w:t>
      </w:r>
      <w:r w:rsidR="008D7E28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nje 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>p</w:t>
      </w:r>
      <w:r w:rsidR="00460A23" w:rsidRPr="00923D26">
        <w:rPr>
          <w:rFonts w:asciiTheme="majorHAnsi" w:eastAsia="Times New Roman" w:hAnsiTheme="majorHAnsi" w:cstheme="majorHAnsi"/>
          <w:color w:val="000000"/>
          <w:lang w:val="hr-HR" w:eastAsia="hr-HR"/>
        </w:rPr>
        <w:t>rihoda od prodaje proizvoda i robe te pruženih usluga, priho</w:t>
      </w:r>
      <w:r w:rsidR="00F713F1" w:rsidRPr="00923D26">
        <w:rPr>
          <w:rFonts w:asciiTheme="majorHAnsi" w:eastAsia="Times New Roman" w:hAnsiTheme="majorHAnsi" w:cstheme="majorHAnsi"/>
          <w:color w:val="000000"/>
          <w:lang w:val="hr-HR" w:eastAsia="hr-HR"/>
        </w:rPr>
        <w:t>da</w:t>
      </w:r>
      <w:r w:rsidR="00460A23" w:rsidRPr="00923D26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od donacija te povrati po protestiranim jamstvima (66)</w:t>
      </w:r>
      <w:r w:rsidR="00502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noProof/>
          <w:lang w:val="hr-HR" w:eastAsia="hr-HR"/>
        </w:rPr>
        <w:t xml:space="preserve">za 21,7% 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>odnosi se</w:t>
      </w:r>
      <w:r w:rsid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najvećim dijelom na 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>prihode o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stvarene po 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>protestirani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>m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jamst</w:t>
      </w:r>
      <w:r w:rsidR="00460A23" w:rsidRPr="00923D26">
        <w:rPr>
          <w:rFonts w:asciiTheme="majorHAnsi" w:eastAsia="Times New Roman" w:hAnsiTheme="majorHAnsi" w:cstheme="majorHAnsi"/>
          <w:noProof/>
          <w:lang w:val="hr-HR" w:eastAsia="hr-HR"/>
        </w:rPr>
        <w:t>vim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>a</w:t>
      </w:r>
      <w:r w:rsidR="006A5568">
        <w:rPr>
          <w:rFonts w:asciiTheme="majorHAnsi" w:eastAsia="Times New Roman" w:hAnsiTheme="majorHAnsi" w:cstheme="majorHAnsi"/>
          <w:noProof/>
          <w:lang w:val="hr-HR" w:eastAsia="hr-HR"/>
        </w:rPr>
        <w:t xml:space="preserve"> kojih je tijekom 2024. godine izdano manje u odnosu na 2023. godinu radi kašnjenja operacionalizacije novih jamstvenih programa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 xml:space="preserve"> iz novog razdoblja 2021.-2027.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 </w:t>
      </w:r>
    </w:p>
    <w:p w14:paraId="6B3F601D" w14:textId="2C04AFB8" w:rsidR="008D7E28" w:rsidRPr="00923D26" w:rsidRDefault="00F713F1" w:rsidP="00F713F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>P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rihodi iz nadležnog proračuna (67) </w:t>
      </w:r>
      <w:r w:rsidR="009354DE">
        <w:rPr>
          <w:rFonts w:asciiTheme="majorHAnsi" w:eastAsia="Times New Roman" w:hAnsiTheme="majorHAnsi" w:cstheme="majorHAnsi"/>
          <w:noProof/>
          <w:lang w:val="hr-HR" w:eastAsia="hr-HR"/>
        </w:rPr>
        <w:t>smanje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ni su </w:t>
      </w:r>
      <w:r w:rsidR="009354DE">
        <w:rPr>
          <w:rFonts w:asciiTheme="majorHAnsi" w:eastAsia="Times New Roman" w:hAnsiTheme="majorHAnsi" w:cstheme="majorHAnsi"/>
          <w:noProof/>
          <w:lang w:val="hr-HR" w:eastAsia="hr-HR"/>
        </w:rPr>
        <w:t xml:space="preserve">za 28,6% </w:t>
      </w:r>
      <w:r w:rsidR="00CA0D8C"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zbog 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>smanjenja određenog broja projekata financiranih iz državnog proračuna i prelaska na nove EU projekte za novo razdoblje</w:t>
      </w:r>
      <w:r w:rsidR="009354DE">
        <w:rPr>
          <w:rFonts w:asciiTheme="majorHAnsi" w:eastAsia="Times New Roman" w:hAnsiTheme="majorHAnsi" w:cstheme="majorHAnsi"/>
          <w:noProof/>
          <w:lang w:val="hr-HR" w:eastAsia="hr-HR"/>
        </w:rPr>
        <w:t xml:space="preserve">, 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>kao i manje</w:t>
      </w:r>
      <w:r w:rsidR="009354DE">
        <w:rPr>
          <w:rFonts w:asciiTheme="majorHAnsi" w:eastAsia="Times New Roman" w:hAnsiTheme="majorHAnsi" w:cstheme="majorHAnsi"/>
          <w:noProof/>
          <w:lang w:val="hr-HR" w:eastAsia="hr-HR"/>
        </w:rPr>
        <w:t xml:space="preserve"> ispla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 xml:space="preserve">te aktiviranih jamstava i manjeg plasmana </w:t>
      </w:r>
      <w:r w:rsidR="009354DE">
        <w:rPr>
          <w:rFonts w:asciiTheme="majorHAnsi" w:eastAsia="Times New Roman" w:hAnsiTheme="majorHAnsi" w:cstheme="majorHAnsi"/>
          <w:noProof/>
          <w:lang w:val="hr-HR" w:eastAsia="hr-HR"/>
        </w:rPr>
        <w:t xml:space="preserve">zajmova </w:t>
      </w:r>
      <w:r w:rsidR="00D7678A">
        <w:rPr>
          <w:rFonts w:asciiTheme="majorHAnsi" w:eastAsia="Times New Roman" w:hAnsiTheme="majorHAnsi" w:cstheme="majorHAnsi"/>
          <w:noProof/>
          <w:lang w:val="hr-HR" w:eastAsia="hr-HR"/>
        </w:rPr>
        <w:t>koji imaju nacionalno sufinanciranje</w:t>
      </w: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t xml:space="preserve">. </w:t>
      </w:r>
    </w:p>
    <w:p w14:paraId="1E459C55" w14:textId="6F8B2844" w:rsidR="00F713F1" w:rsidRPr="00923D26" w:rsidRDefault="00F713F1">
      <w:pPr>
        <w:rPr>
          <w:rFonts w:asciiTheme="majorHAnsi" w:eastAsia="Times New Roman" w:hAnsiTheme="majorHAnsi" w:cstheme="majorHAnsi"/>
          <w:noProof/>
          <w:lang w:val="hr-HR" w:eastAsia="hr-HR"/>
        </w:rPr>
      </w:pPr>
      <w:r w:rsidRPr="00923D26">
        <w:rPr>
          <w:rFonts w:asciiTheme="majorHAnsi" w:eastAsia="Times New Roman" w:hAnsiTheme="majorHAnsi" w:cstheme="majorHAnsi"/>
          <w:noProof/>
          <w:lang w:val="hr-HR" w:eastAsia="hr-HR"/>
        </w:rPr>
        <w:br w:type="page"/>
      </w:r>
    </w:p>
    <w:p w14:paraId="4894AC2B" w14:textId="77777777" w:rsidR="00F713F1" w:rsidRDefault="00F713F1" w:rsidP="00F713F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</w:p>
    <w:p w14:paraId="691D9F80" w14:textId="77777777" w:rsidR="009979C6" w:rsidRPr="00EA6586" w:rsidRDefault="009979C6" w:rsidP="00CA0D8C">
      <w:pPr>
        <w:spacing w:line="276" w:lineRule="auto"/>
        <w:jc w:val="both"/>
        <w:rPr>
          <w:rFonts w:asciiTheme="minorHAnsi" w:eastAsia="Times New Roman" w:hAnsiTheme="minorHAnsi" w:cstheme="minorHAnsi"/>
          <w:b/>
          <w:color w:val="FF0000"/>
          <w:highlight w:val="yellow"/>
          <w:lang w:val="hr-HR"/>
        </w:rPr>
      </w:pPr>
    </w:p>
    <w:p w14:paraId="307CD5FB" w14:textId="56BE0B20" w:rsidR="009979C6" w:rsidRPr="00CA0D8C" w:rsidRDefault="009979C6" w:rsidP="00CA0D8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/>
        </w:rPr>
      </w:pPr>
      <w:r w:rsidRPr="00CA0D8C">
        <w:rPr>
          <w:rFonts w:asciiTheme="majorHAnsi" w:eastAsia="Times New Roman" w:hAnsiTheme="majorHAnsi" w:cstheme="majorHAnsi"/>
          <w:b/>
        </w:rPr>
        <w:t>RASHODI</w:t>
      </w:r>
    </w:p>
    <w:p w14:paraId="53BDAC1B" w14:textId="77777777" w:rsidR="0033539F" w:rsidRPr="00CA0D8C" w:rsidRDefault="0033539F" w:rsidP="00CA0D8C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ajorHAnsi" w:eastAsia="Times New Roman" w:hAnsiTheme="majorHAnsi" w:cstheme="majorHAnsi"/>
          <w:b/>
        </w:rPr>
      </w:pPr>
    </w:p>
    <w:p w14:paraId="618C68A9" w14:textId="4B7E6D02" w:rsidR="00A16D51" w:rsidRDefault="009979C6" w:rsidP="00F713F1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</w:rPr>
      </w:pPr>
      <w:proofErr w:type="spellStart"/>
      <w:r w:rsidRPr="002B6C17">
        <w:rPr>
          <w:rFonts w:asciiTheme="majorHAnsi" w:eastAsia="Times New Roman" w:hAnsiTheme="majorHAnsi" w:cstheme="majorHAnsi"/>
          <w:bCs/>
        </w:rPr>
        <w:t>Ukupni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</w:t>
      </w:r>
      <w:proofErr w:type="spellStart"/>
      <w:r w:rsidRPr="002B6C17">
        <w:rPr>
          <w:rFonts w:asciiTheme="majorHAnsi" w:eastAsia="Times New Roman" w:hAnsiTheme="majorHAnsi" w:cstheme="majorHAnsi"/>
          <w:bCs/>
        </w:rPr>
        <w:t>rashodi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</w:t>
      </w:r>
      <w:proofErr w:type="spellStart"/>
      <w:r w:rsidRPr="002B6C17">
        <w:rPr>
          <w:rFonts w:asciiTheme="majorHAnsi" w:eastAsia="Times New Roman" w:hAnsiTheme="majorHAnsi" w:cstheme="majorHAnsi"/>
          <w:bCs/>
        </w:rPr>
        <w:t>poslovanja</w:t>
      </w:r>
      <w:proofErr w:type="spellEnd"/>
      <w:r w:rsidR="00A14F3D" w:rsidRPr="002B6C17">
        <w:rPr>
          <w:rFonts w:asciiTheme="majorHAnsi" w:eastAsia="Times New Roman" w:hAnsiTheme="majorHAnsi" w:cstheme="majorHAnsi"/>
          <w:bCs/>
        </w:rPr>
        <w:t xml:space="preserve"> u </w:t>
      </w:r>
      <w:r w:rsidR="00A14F3D" w:rsidRPr="00502D26">
        <w:rPr>
          <w:rFonts w:asciiTheme="majorHAnsi" w:eastAsia="Times New Roman" w:hAnsiTheme="majorHAnsi" w:cstheme="majorHAnsi"/>
          <w:noProof/>
          <w:lang w:val="hr-HR" w:eastAsia="hr-HR"/>
        </w:rPr>
        <w:t>razdoblju od 01.01.202</w:t>
      </w:r>
      <w:r w:rsidR="00FE4935"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="00A14F3D" w:rsidRPr="00502D26">
        <w:rPr>
          <w:rFonts w:asciiTheme="majorHAnsi" w:eastAsia="Times New Roman" w:hAnsiTheme="majorHAnsi" w:cstheme="majorHAnsi"/>
          <w:noProof/>
          <w:lang w:val="hr-HR" w:eastAsia="hr-HR"/>
        </w:rPr>
        <w:t>. – 31.12.202</w:t>
      </w:r>
      <w:r w:rsidR="00FE4935"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="00A14F3D" w:rsidRPr="00502D26">
        <w:rPr>
          <w:rFonts w:asciiTheme="majorHAnsi" w:eastAsia="Times New Roman" w:hAnsiTheme="majorHAnsi" w:cstheme="majorHAnsi"/>
          <w:noProof/>
          <w:lang w:val="hr-HR" w:eastAsia="hr-HR"/>
        </w:rPr>
        <w:t>. godine</w:t>
      </w:r>
      <w:r w:rsidRPr="002B6C17">
        <w:rPr>
          <w:rFonts w:asciiTheme="majorHAnsi" w:eastAsia="Times New Roman" w:hAnsiTheme="majorHAnsi" w:cstheme="majorHAnsi"/>
          <w:bCs/>
        </w:rPr>
        <w:t xml:space="preserve"> u</w:t>
      </w:r>
      <w:r w:rsidR="00A14F3D" w:rsidRPr="002B6C17">
        <w:rPr>
          <w:rFonts w:asciiTheme="majorHAnsi" w:eastAsia="Times New Roman" w:hAnsiTheme="majorHAnsi" w:cstheme="majorHAnsi"/>
          <w:bCs/>
        </w:rPr>
        <w:t xml:space="preserve"> </w:t>
      </w:r>
      <w:proofErr w:type="spellStart"/>
      <w:r w:rsidR="00A14F3D" w:rsidRPr="002B6C17">
        <w:rPr>
          <w:rFonts w:asciiTheme="majorHAnsi" w:eastAsia="Times New Roman" w:hAnsiTheme="majorHAnsi" w:cstheme="majorHAnsi"/>
          <w:bCs/>
        </w:rPr>
        <w:t>iznosu</w:t>
      </w:r>
      <w:proofErr w:type="spellEnd"/>
      <w:r w:rsidR="00A14F3D" w:rsidRPr="002B6C17">
        <w:rPr>
          <w:rFonts w:asciiTheme="majorHAnsi" w:eastAsia="Times New Roman" w:hAnsiTheme="majorHAnsi" w:cstheme="majorHAnsi"/>
          <w:bCs/>
        </w:rPr>
        <w:t xml:space="preserve"> od </w:t>
      </w:r>
      <w:r w:rsidR="00123D3A">
        <w:rPr>
          <w:rFonts w:ascii="Calibri Light" w:eastAsia="Times New Roman" w:hAnsi="Calibri Light" w:cs="Calibri Light"/>
          <w:color w:val="000000"/>
          <w:lang w:val="hr-HR" w:eastAsia="hr-HR"/>
        </w:rPr>
        <w:t>21.003.660,35</w:t>
      </w:r>
      <w:r w:rsidR="00A14F3D" w:rsidRPr="00502D26">
        <w:rPr>
          <w:rFonts w:ascii="Calibri Light" w:eastAsia="Times New Roman" w:hAnsi="Calibri Light" w:cs="Calibri Light"/>
          <w:color w:val="000000"/>
          <w:lang w:val="hr-HR" w:eastAsia="hr-HR"/>
        </w:rPr>
        <w:t xml:space="preserve"> EUR odnose se na: </w:t>
      </w:r>
      <w:r w:rsidRPr="002B6C17">
        <w:rPr>
          <w:rFonts w:asciiTheme="majorHAnsi" w:eastAsia="Times New Roman" w:hAnsiTheme="majorHAnsi" w:cstheme="majorHAnsi"/>
          <w:bCs/>
        </w:rPr>
        <w:t xml:space="preserve"> </w:t>
      </w:r>
    </w:p>
    <w:p w14:paraId="3EA535DF" w14:textId="77777777" w:rsidR="007E67FA" w:rsidRPr="00502D26" w:rsidRDefault="007E67FA" w:rsidP="00F713F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2600"/>
        <w:gridCol w:w="2420"/>
        <w:gridCol w:w="2420"/>
        <w:gridCol w:w="1040"/>
      </w:tblGrid>
      <w:tr w:rsidR="007E67FA" w:rsidRPr="007E67FA" w14:paraId="61464AA1" w14:textId="77777777" w:rsidTr="007E67FA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CF9C9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RASHODI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759C8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2023.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C0540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2024.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5FEA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7E67FA" w:rsidRPr="007E67FA" w14:paraId="7AFFEC9C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EC49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poslovanja (3)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A98A3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23.922.023,91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EA989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21.003.660,35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AE495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87,8</w:t>
            </w:r>
          </w:p>
        </w:tc>
      </w:tr>
      <w:tr w:rsidR="007E67FA" w:rsidRPr="007E67FA" w14:paraId="75D3BB76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1DA0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za zaposlene (31)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4DD3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9.506.224,10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9B86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11.436.078,80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57E5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120,3</w:t>
            </w:r>
          </w:p>
        </w:tc>
      </w:tr>
      <w:tr w:rsidR="007E67FA" w:rsidRPr="007E67FA" w14:paraId="3C41A0CE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A4D0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Materijalni rashodi (32)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E9EA5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4.813.924,43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0D09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3.423.443,67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FE17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71,1</w:t>
            </w:r>
          </w:p>
        </w:tc>
      </w:tr>
      <w:tr w:rsidR="007E67FA" w:rsidRPr="007E67FA" w14:paraId="034DFC0E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E09E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Financijski rashodi (34)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E8D0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4.381,81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3E1E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5.749,27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D479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131,2</w:t>
            </w:r>
          </w:p>
        </w:tc>
      </w:tr>
      <w:tr w:rsidR="007E67FA" w:rsidRPr="007E67FA" w14:paraId="778B7FF9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4D3F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Subvencije (35)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5184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4.507.462,77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0774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1.899.332,70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A017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42,1</w:t>
            </w:r>
          </w:p>
        </w:tc>
      </w:tr>
      <w:tr w:rsidR="007E67FA" w:rsidRPr="007E67FA" w14:paraId="5C41FE3D" w14:textId="77777777" w:rsidTr="007E67FA">
        <w:trPr>
          <w:trHeight w:val="564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69C5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Pomoći dane u inozemstvo i unutar općeg proračuna (36)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7D37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37.370,76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67DE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9506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0,0</w:t>
            </w:r>
          </w:p>
        </w:tc>
      </w:tr>
      <w:tr w:rsidR="007E67FA" w:rsidRPr="007E67FA" w14:paraId="29C8E026" w14:textId="77777777" w:rsidTr="007E67FA">
        <w:trPr>
          <w:trHeight w:val="564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5C0D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Naknade građanima i kućanstvima u novcu (37)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F3C28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52.388,47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3B7C7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15.539,43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20B1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29,7</w:t>
            </w:r>
          </w:p>
        </w:tc>
      </w:tr>
      <w:tr w:rsidR="007E67FA" w:rsidRPr="007E67FA" w14:paraId="2271ED49" w14:textId="77777777" w:rsidTr="007E67F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CDFA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 xml:space="preserve">Ostali rashodi (38)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9DD3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5.000.271,57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95B8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4.223.516,48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AD88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84,5</w:t>
            </w:r>
          </w:p>
        </w:tc>
      </w:tr>
      <w:tr w:rsidR="007E67FA" w:rsidRPr="007E67FA" w14:paraId="39F10FFB" w14:textId="77777777" w:rsidTr="007E67FA">
        <w:trPr>
          <w:trHeight w:val="564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C9D0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za nabavu nefinancijske imovine (4)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DE31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537.943,45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EF65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437.281,62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B741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81,3</w:t>
            </w:r>
          </w:p>
        </w:tc>
      </w:tr>
      <w:tr w:rsidR="007E67FA" w:rsidRPr="007E67FA" w14:paraId="34C09A7C" w14:textId="77777777" w:rsidTr="007E67FA">
        <w:trPr>
          <w:trHeight w:val="84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E214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za nabavu neproizvedene dugotrajne imovine (41)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0790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38.934,32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E12E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4839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0,0</w:t>
            </w:r>
          </w:p>
        </w:tc>
      </w:tr>
      <w:tr w:rsidR="007E67FA" w:rsidRPr="007E67FA" w14:paraId="4EEA5695" w14:textId="77777777" w:rsidTr="007E67FA">
        <w:trPr>
          <w:trHeight w:val="84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508D" w14:textId="77777777" w:rsidR="007E67FA" w:rsidRPr="007E67FA" w:rsidRDefault="007E67FA" w:rsidP="007E67FA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za nabavu proizvedene dugotrajne imovine (42)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61255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499.009,13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09F2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437.281,62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2BD4" w14:textId="77777777" w:rsidR="007E67FA" w:rsidRPr="007E67FA" w:rsidRDefault="007E67FA" w:rsidP="007E67FA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7E67F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87,6</w:t>
            </w:r>
          </w:p>
        </w:tc>
      </w:tr>
    </w:tbl>
    <w:p w14:paraId="06FA5D76" w14:textId="16DC5186" w:rsidR="009979C6" w:rsidRPr="002B6C17" w:rsidRDefault="009979C6" w:rsidP="00CA0D8C">
      <w:pPr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4839D2A1" w14:textId="0CCA2317" w:rsidR="00534848" w:rsidRDefault="00534848" w:rsidP="00CA0D8C">
      <w:pPr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pt-BR"/>
        </w:rPr>
      </w:pPr>
    </w:p>
    <w:p w14:paraId="7B17B00C" w14:textId="7D9EDC9B" w:rsidR="00A14F3D" w:rsidRPr="00A16D51" w:rsidRDefault="00A14F3D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eastAsia="Times New Roman" w:hAnsiTheme="majorHAnsi" w:cstheme="majorHAnsi"/>
          <w:bCs/>
          <w:lang w:val="pt-BR"/>
        </w:rPr>
        <w:t>Rashodi u 202</w:t>
      </w:r>
      <w:r w:rsidR="0039543F">
        <w:rPr>
          <w:rFonts w:asciiTheme="majorHAnsi" w:eastAsia="Times New Roman" w:hAnsiTheme="majorHAnsi" w:cstheme="majorHAnsi"/>
          <w:bCs/>
          <w:lang w:val="pt-BR"/>
        </w:rPr>
        <w:t>4</w:t>
      </w:r>
      <w:r>
        <w:rPr>
          <w:rFonts w:asciiTheme="majorHAnsi" w:eastAsia="Times New Roman" w:hAnsiTheme="majorHAnsi" w:cstheme="majorHAnsi"/>
          <w:bCs/>
          <w:lang w:val="pt-BR"/>
        </w:rPr>
        <w:t xml:space="preserve">. godini </w:t>
      </w:r>
      <w:r w:rsidR="00490B3E">
        <w:rPr>
          <w:rFonts w:asciiTheme="majorHAnsi" w:eastAsia="Times New Roman" w:hAnsiTheme="majorHAnsi" w:cstheme="majorHAnsi"/>
          <w:bCs/>
          <w:lang w:val="pt-BR"/>
        </w:rPr>
        <w:t>smanjeni u odnosu na prethodnu godinu za 12,2%  kako slijedi:</w:t>
      </w:r>
    </w:p>
    <w:p w14:paraId="50021620" w14:textId="77777777" w:rsidR="00A14F3D" w:rsidRDefault="00A14F3D" w:rsidP="00502D26">
      <w:pPr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pt-BR"/>
        </w:rPr>
      </w:pPr>
    </w:p>
    <w:p w14:paraId="656ED005" w14:textId="4767A527" w:rsidR="00000D74" w:rsidRDefault="00F713F1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lang w:val="pt-BR"/>
        </w:rPr>
      </w:pPr>
      <w:r w:rsidRPr="00CA0D8C">
        <w:rPr>
          <w:rFonts w:asciiTheme="majorHAnsi" w:eastAsia="Times New Roman" w:hAnsiTheme="majorHAnsi" w:cstheme="majorHAnsi"/>
          <w:bCs/>
          <w:lang w:val="pt-BR"/>
        </w:rPr>
        <w:t xml:space="preserve">Rashodi za zaposlene (31) povećani su za </w:t>
      </w:r>
      <w:r w:rsidR="00490B3E">
        <w:rPr>
          <w:rFonts w:asciiTheme="majorHAnsi" w:eastAsia="Times New Roman" w:hAnsiTheme="majorHAnsi" w:cstheme="majorHAnsi"/>
          <w:bCs/>
          <w:lang w:val="pt-BR"/>
        </w:rPr>
        <w:t>20</w:t>
      </w:r>
      <w:r w:rsidRPr="00CA0D8C">
        <w:rPr>
          <w:rFonts w:asciiTheme="majorHAnsi" w:eastAsia="Times New Roman" w:hAnsiTheme="majorHAnsi" w:cstheme="majorHAnsi"/>
          <w:bCs/>
          <w:lang w:val="pt-BR"/>
        </w:rPr>
        <w:t>,</w:t>
      </w:r>
      <w:r w:rsidR="00490B3E">
        <w:rPr>
          <w:rFonts w:asciiTheme="majorHAnsi" w:eastAsia="Times New Roman" w:hAnsiTheme="majorHAnsi" w:cstheme="majorHAnsi"/>
          <w:bCs/>
          <w:lang w:val="pt-BR"/>
        </w:rPr>
        <w:t>3</w:t>
      </w:r>
      <w:r w:rsidRPr="00CA0D8C">
        <w:rPr>
          <w:rFonts w:asciiTheme="majorHAnsi" w:eastAsia="Times New Roman" w:hAnsiTheme="majorHAnsi" w:cstheme="majorHAnsi"/>
          <w:bCs/>
          <w:lang w:val="pt-BR"/>
        </w:rPr>
        <w:t xml:space="preserve">% kao posljedica povećanja osnovice plaća javnim i državnim službama te zapošljavanja novih zaposlenika. </w:t>
      </w:r>
    </w:p>
    <w:p w14:paraId="03D802D6" w14:textId="40F35E0F" w:rsidR="00834BAA" w:rsidRPr="00834BAA" w:rsidRDefault="00F713F1" w:rsidP="00834BAA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lang w:val="hr-HR"/>
        </w:rPr>
      </w:pPr>
      <w:r w:rsidRPr="00CA0D8C">
        <w:rPr>
          <w:rFonts w:asciiTheme="majorHAnsi" w:eastAsia="Times New Roman" w:hAnsiTheme="majorHAnsi" w:cstheme="majorHAnsi"/>
          <w:bCs/>
          <w:lang w:val="pt-BR"/>
        </w:rPr>
        <w:t>Materijalni rashodi (32) su u odnosu na 202</w:t>
      </w:r>
      <w:r w:rsidR="0039543F">
        <w:rPr>
          <w:rFonts w:asciiTheme="majorHAnsi" w:eastAsia="Times New Roman" w:hAnsiTheme="majorHAnsi" w:cstheme="majorHAnsi"/>
          <w:bCs/>
          <w:lang w:val="pt-BR"/>
        </w:rPr>
        <w:t>3</w:t>
      </w:r>
      <w:r w:rsidRPr="00CA0D8C">
        <w:rPr>
          <w:rFonts w:asciiTheme="majorHAnsi" w:eastAsia="Times New Roman" w:hAnsiTheme="majorHAnsi" w:cstheme="majorHAnsi"/>
          <w:bCs/>
          <w:lang w:val="pt-BR"/>
        </w:rPr>
        <w:t xml:space="preserve">. godinu </w:t>
      </w:r>
      <w:r w:rsidR="00490B3E">
        <w:rPr>
          <w:rFonts w:asciiTheme="majorHAnsi" w:eastAsia="Times New Roman" w:hAnsiTheme="majorHAnsi" w:cstheme="majorHAnsi"/>
          <w:bCs/>
          <w:lang w:val="pt-BR"/>
        </w:rPr>
        <w:t xml:space="preserve">smanjeni </w:t>
      </w:r>
      <w:r w:rsidRPr="00CA0D8C">
        <w:rPr>
          <w:rFonts w:asciiTheme="majorHAnsi" w:eastAsia="Times New Roman" w:hAnsiTheme="majorHAnsi" w:cstheme="majorHAnsi"/>
          <w:bCs/>
          <w:lang w:val="pt-BR"/>
        </w:rPr>
        <w:t>za 2</w:t>
      </w:r>
      <w:r w:rsidR="00490B3E">
        <w:rPr>
          <w:rFonts w:asciiTheme="majorHAnsi" w:eastAsia="Times New Roman" w:hAnsiTheme="majorHAnsi" w:cstheme="majorHAnsi"/>
          <w:bCs/>
          <w:lang w:val="pt-BR"/>
        </w:rPr>
        <w:t>8</w:t>
      </w:r>
      <w:r w:rsidRPr="00CA0D8C">
        <w:rPr>
          <w:rFonts w:asciiTheme="majorHAnsi" w:eastAsia="Times New Roman" w:hAnsiTheme="majorHAnsi" w:cstheme="majorHAnsi"/>
          <w:bCs/>
          <w:lang w:val="pt-BR"/>
        </w:rPr>
        <w:t>,</w:t>
      </w:r>
      <w:r w:rsidR="00490B3E">
        <w:rPr>
          <w:rFonts w:asciiTheme="majorHAnsi" w:eastAsia="Times New Roman" w:hAnsiTheme="majorHAnsi" w:cstheme="majorHAnsi"/>
          <w:bCs/>
          <w:lang w:val="pt-BR"/>
        </w:rPr>
        <w:t>9</w:t>
      </w:r>
      <w:r w:rsidRPr="00CA0D8C">
        <w:rPr>
          <w:rFonts w:asciiTheme="majorHAnsi" w:eastAsia="Times New Roman" w:hAnsiTheme="majorHAnsi" w:cstheme="majorHAnsi"/>
          <w:bCs/>
          <w:lang w:val="pt-BR"/>
        </w:rPr>
        <w:t>% uglavnom zbog</w:t>
      </w:r>
      <w:r w:rsidR="00B705C8">
        <w:rPr>
          <w:rFonts w:asciiTheme="majorHAnsi" w:eastAsia="Times New Roman" w:hAnsiTheme="majorHAnsi" w:cstheme="majorHAnsi"/>
          <w:bCs/>
          <w:lang w:val="pt-BR"/>
        </w:rPr>
        <w:t xml:space="preserve"> manjih troškova </w:t>
      </w:r>
      <w:r w:rsidR="00A10761">
        <w:rPr>
          <w:rFonts w:asciiTheme="majorHAnsi" w:eastAsia="Times New Roman" w:hAnsiTheme="majorHAnsi" w:cstheme="majorHAnsi"/>
          <w:bCs/>
          <w:lang w:val="pt-BR"/>
        </w:rPr>
        <w:t>za s</w:t>
      </w:r>
      <w:r w:rsidR="00A10761" w:rsidRPr="00A10761">
        <w:rPr>
          <w:rFonts w:asciiTheme="majorHAnsi" w:eastAsia="Times New Roman" w:hAnsiTheme="majorHAnsi" w:cstheme="majorHAnsi"/>
          <w:bCs/>
          <w:lang w:val="pt-BR"/>
        </w:rPr>
        <w:t>tručno usavršavanje zaposlenika</w:t>
      </w:r>
      <w:r w:rsidR="00A10761">
        <w:rPr>
          <w:rFonts w:asciiTheme="majorHAnsi" w:eastAsia="Times New Roman" w:hAnsiTheme="majorHAnsi" w:cstheme="majorHAnsi"/>
          <w:bCs/>
          <w:lang w:val="pt-BR"/>
        </w:rPr>
        <w:t xml:space="preserve"> za 45,5%; </w:t>
      </w:r>
      <w:r w:rsidR="00B705C8">
        <w:rPr>
          <w:rFonts w:asciiTheme="majorHAnsi" w:eastAsia="Times New Roman" w:hAnsiTheme="majorHAnsi" w:cstheme="majorHAnsi"/>
          <w:bCs/>
          <w:lang w:val="pt-BR"/>
        </w:rPr>
        <w:t>u</w:t>
      </w:r>
      <w:r w:rsidR="00B705C8" w:rsidRPr="00B705C8">
        <w:rPr>
          <w:rFonts w:asciiTheme="majorHAnsi" w:eastAsia="Times New Roman" w:hAnsiTheme="majorHAnsi" w:cstheme="majorHAnsi"/>
          <w:bCs/>
          <w:lang w:val="pt-BR"/>
        </w:rPr>
        <w:t>sluge promidžbe i informiranja</w:t>
      </w:r>
      <w:r w:rsidR="00B705C8">
        <w:rPr>
          <w:rFonts w:asciiTheme="majorHAnsi" w:eastAsia="Times New Roman" w:hAnsiTheme="majorHAnsi" w:cstheme="majorHAnsi"/>
          <w:bCs/>
          <w:lang w:val="pt-BR"/>
        </w:rPr>
        <w:t xml:space="preserve"> za 76,1%;</w:t>
      </w:r>
      <w:r w:rsidRPr="00CA0D8C">
        <w:rPr>
          <w:rFonts w:asciiTheme="majorHAnsi" w:eastAsia="Times New Roman" w:hAnsiTheme="majorHAnsi" w:cstheme="majorHAnsi"/>
          <w:bCs/>
          <w:lang w:val="pt-BR"/>
        </w:rPr>
        <w:t xml:space="preserve"> </w:t>
      </w:r>
      <w:r w:rsidR="00490B3E">
        <w:rPr>
          <w:rFonts w:asciiTheme="majorHAnsi" w:eastAsia="Times New Roman" w:hAnsiTheme="majorHAnsi" w:cstheme="majorHAnsi"/>
          <w:bCs/>
          <w:lang w:val="pt-BR"/>
        </w:rPr>
        <w:t>smanjenih</w:t>
      </w:r>
      <w:r w:rsidRPr="00CA0D8C">
        <w:rPr>
          <w:rFonts w:asciiTheme="majorHAnsi" w:eastAsia="Times New Roman" w:hAnsiTheme="majorHAnsi" w:cstheme="majorHAnsi"/>
          <w:bCs/>
          <w:lang w:val="pt-BR"/>
        </w:rPr>
        <w:t xml:space="preserve"> naknada troškova </w:t>
      </w:r>
      <w:r w:rsidR="00000D74">
        <w:rPr>
          <w:rFonts w:asciiTheme="majorHAnsi" w:eastAsia="Times New Roman" w:hAnsiTheme="majorHAnsi" w:cstheme="majorHAnsi"/>
          <w:bCs/>
          <w:lang w:val="pt-BR"/>
        </w:rPr>
        <w:t>vezanih za intelektualn</w:t>
      </w:r>
      <w:r w:rsidR="00E93514">
        <w:rPr>
          <w:rFonts w:asciiTheme="majorHAnsi" w:eastAsia="Times New Roman" w:hAnsiTheme="majorHAnsi" w:cstheme="majorHAnsi"/>
          <w:bCs/>
          <w:lang w:val="pt-BR"/>
        </w:rPr>
        <w:t>e</w:t>
      </w:r>
      <w:r w:rsidR="00000D74">
        <w:rPr>
          <w:rFonts w:asciiTheme="majorHAnsi" w:eastAsia="Times New Roman" w:hAnsiTheme="majorHAnsi" w:cstheme="majorHAnsi"/>
          <w:bCs/>
          <w:lang w:val="pt-BR"/>
        </w:rPr>
        <w:t xml:space="preserve"> uslug</w:t>
      </w:r>
      <w:r w:rsidR="00E93514">
        <w:rPr>
          <w:rFonts w:asciiTheme="majorHAnsi" w:eastAsia="Times New Roman" w:hAnsiTheme="majorHAnsi" w:cstheme="majorHAnsi"/>
          <w:bCs/>
          <w:lang w:val="pt-BR"/>
        </w:rPr>
        <w:t>e</w:t>
      </w:r>
      <w:r w:rsidR="00000D74">
        <w:rPr>
          <w:rFonts w:asciiTheme="majorHAnsi" w:eastAsia="Times New Roman" w:hAnsiTheme="majorHAnsi" w:cstheme="majorHAnsi"/>
          <w:bCs/>
          <w:lang w:val="pt-BR"/>
        </w:rPr>
        <w:t xml:space="preserve"> vanjskih ocjenjivača za vrednovanje projekata</w:t>
      </w:r>
      <w:r w:rsidR="00834BAA">
        <w:rPr>
          <w:rFonts w:asciiTheme="majorHAnsi" w:eastAsia="Times New Roman" w:hAnsiTheme="majorHAnsi" w:cstheme="majorHAnsi"/>
          <w:bCs/>
          <w:lang w:val="pt-BR"/>
        </w:rPr>
        <w:t xml:space="preserve"> </w:t>
      </w:r>
      <w:r w:rsidR="00B705C8">
        <w:rPr>
          <w:rFonts w:asciiTheme="majorHAnsi" w:eastAsia="Times New Roman" w:hAnsiTheme="majorHAnsi" w:cstheme="majorHAnsi"/>
          <w:bCs/>
          <w:lang w:val="pt-BR"/>
        </w:rPr>
        <w:t>usljed</w:t>
      </w:r>
      <w:r w:rsidR="00834BAA" w:rsidRPr="00834BAA">
        <w:rPr>
          <w:rFonts w:asciiTheme="majorHAnsi" w:eastAsia="Times New Roman" w:hAnsiTheme="majorHAnsi" w:cstheme="majorHAnsi"/>
          <w:bCs/>
          <w:lang w:val="hr-HR"/>
        </w:rPr>
        <w:t xml:space="preserve"> </w:t>
      </w:r>
      <w:r w:rsidR="00B705C8">
        <w:rPr>
          <w:rFonts w:asciiTheme="majorHAnsi" w:eastAsia="Times New Roman" w:hAnsiTheme="majorHAnsi" w:cstheme="majorHAnsi"/>
          <w:bCs/>
          <w:lang w:val="hr-HR"/>
        </w:rPr>
        <w:t xml:space="preserve">manjeg opsega </w:t>
      </w:r>
      <w:r w:rsidR="00834BAA" w:rsidRPr="00834BAA">
        <w:rPr>
          <w:rFonts w:asciiTheme="majorHAnsi" w:eastAsia="Times New Roman" w:hAnsiTheme="majorHAnsi" w:cstheme="majorHAnsi"/>
          <w:bCs/>
          <w:lang w:val="hr-HR"/>
        </w:rPr>
        <w:t>ugovoranja nov</w:t>
      </w:r>
      <w:r w:rsidR="00834BAA">
        <w:rPr>
          <w:rFonts w:asciiTheme="majorHAnsi" w:eastAsia="Times New Roman" w:hAnsiTheme="majorHAnsi" w:cstheme="majorHAnsi"/>
          <w:bCs/>
          <w:lang w:val="hr-HR"/>
        </w:rPr>
        <w:t>ih projekata</w:t>
      </w:r>
      <w:r w:rsidR="00B705C8">
        <w:rPr>
          <w:rFonts w:asciiTheme="majorHAnsi" w:eastAsia="Times New Roman" w:hAnsiTheme="majorHAnsi" w:cstheme="majorHAnsi"/>
          <w:bCs/>
          <w:lang w:val="hr-HR"/>
        </w:rPr>
        <w:t xml:space="preserve"> vezanih za bespovratne potpore za 37,8% i manjih troškova reprezentacije od 45,5% dok su istovremeno rasli troškovi za komunalne usluge od 78,2% i troškovi zakupnina od 21,7% zbog novog poslovnog prostora</w:t>
      </w:r>
      <w:r w:rsidR="00834BAA">
        <w:rPr>
          <w:rFonts w:asciiTheme="majorHAnsi" w:eastAsia="Times New Roman" w:hAnsiTheme="majorHAnsi" w:cstheme="majorHAnsi"/>
          <w:bCs/>
          <w:lang w:val="hr-HR"/>
        </w:rPr>
        <w:t xml:space="preserve">. </w:t>
      </w:r>
    </w:p>
    <w:p w14:paraId="0F6CF9A6" w14:textId="3784888A" w:rsidR="00000D74" w:rsidRPr="00834BAA" w:rsidRDefault="00F713F1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lang w:val="hr-HR"/>
        </w:rPr>
      </w:pP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Financijski rashodi </w:t>
      </w:r>
      <w:r w:rsidR="00000D74" w:rsidRPr="00834BAA">
        <w:rPr>
          <w:rFonts w:asciiTheme="majorHAnsi" w:eastAsia="Times New Roman" w:hAnsiTheme="majorHAnsi" w:cstheme="majorHAnsi"/>
          <w:bCs/>
          <w:lang w:val="hr-HR"/>
        </w:rPr>
        <w:t xml:space="preserve">(34) </w:t>
      </w:r>
      <w:r w:rsidR="00A356A7" w:rsidRPr="00834BAA">
        <w:rPr>
          <w:rFonts w:asciiTheme="majorHAnsi" w:eastAsia="Times New Roman" w:hAnsiTheme="majorHAnsi" w:cstheme="majorHAnsi"/>
          <w:bCs/>
          <w:lang w:val="hr-HR"/>
        </w:rPr>
        <w:t>porasli</w:t>
      </w: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 su za </w:t>
      </w:r>
      <w:r w:rsidR="00A356A7" w:rsidRPr="00834BAA">
        <w:rPr>
          <w:rFonts w:asciiTheme="majorHAnsi" w:eastAsia="Times New Roman" w:hAnsiTheme="majorHAnsi" w:cstheme="majorHAnsi"/>
          <w:bCs/>
          <w:lang w:val="hr-HR"/>
        </w:rPr>
        <w:t>31</w:t>
      </w:r>
      <w:r w:rsidRPr="00834BAA">
        <w:rPr>
          <w:rFonts w:asciiTheme="majorHAnsi" w:eastAsia="Times New Roman" w:hAnsiTheme="majorHAnsi" w:cstheme="majorHAnsi"/>
          <w:bCs/>
          <w:lang w:val="hr-HR"/>
        </w:rPr>
        <w:t>,</w:t>
      </w:r>
      <w:r w:rsidR="00A356A7" w:rsidRPr="00834BAA">
        <w:rPr>
          <w:rFonts w:asciiTheme="majorHAnsi" w:eastAsia="Times New Roman" w:hAnsiTheme="majorHAnsi" w:cstheme="majorHAnsi"/>
          <w:bCs/>
          <w:lang w:val="hr-HR"/>
        </w:rPr>
        <w:t>2</w:t>
      </w: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 % </w:t>
      </w:r>
      <w:r w:rsidR="00834BAA" w:rsidRPr="00834BAA">
        <w:rPr>
          <w:rFonts w:asciiTheme="majorHAnsi" w:eastAsia="Times New Roman" w:hAnsiTheme="majorHAnsi" w:cstheme="majorHAnsi"/>
          <w:bCs/>
          <w:lang w:val="hr-HR"/>
        </w:rPr>
        <w:t>zb</w:t>
      </w:r>
      <w:r w:rsidR="00834BAA">
        <w:rPr>
          <w:rFonts w:asciiTheme="majorHAnsi" w:eastAsia="Times New Roman" w:hAnsiTheme="majorHAnsi" w:cstheme="majorHAnsi"/>
          <w:bCs/>
          <w:lang w:val="hr-HR"/>
        </w:rPr>
        <w:t xml:space="preserve">og </w:t>
      </w:r>
      <w:r w:rsidR="00A356A7" w:rsidRPr="00834BAA">
        <w:rPr>
          <w:rFonts w:asciiTheme="majorHAnsi" w:eastAsia="Times New Roman" w:hAnsiTheme="majorHAnsi" w:cstheme="majorHAnsi"/>
          <w:bCs/>
          <w:lang w:val="hr-HR"/>
        </w:rPr>
        <w:t>porasta</w:t>
      </w: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 broja bankarsk</w:t>
      </w:r>
      <w:r w:rsidR="00323DB8" w:rsidRPr="00834BAA">
        <w:rPr>
          <w:rFonts w:asciiTheme="majorHAnsi" w:eastAsia="Times New Roman" w:hAnsiTheme="majorHAnsi" w:cstheme="majorHAnsi"/>
          <w:bCs/>
          <w:lang w:val="hr-HR"/>
        </w:rPr>
        <w:t>i</w:t>
      </w: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h transakcija i </w:t>
      </w:r>
      <w:r w:rsidR="005B7B42">
        <w:rPr>
          <w:rFonts w:asciiTheme="majorHAnsi" w:eastAsia="Times New Roman" w:hAnsiTheme="majorHAnsi" w:cstheme="majorHAnsi"/>
          <w:bCs/>
          <w:lang w:val="hr-HR"/>
        </w:rPr>
        <w:t xml:space="preserve">većeg broja </w:t>
      </w:r>
      <w:r w:rsidRPr="00834BAA">
        <w:rPr>
          <w:rFonts w:asciiTheme="majorHAnsi" w:eastAsia="Times New Roman" w:hAnsiTheme="majorHAnsi" w:cstheme="majorHAnsi"/>
          <w:bCs/>
          <w:lang w:val="hr-HR"/>
        </w:rPr>
        <w:t>usluga platnog prometa</w:t>
      </w:r>
      <w:r w:rsidR="00834BAA">
        <w:rPr>
          <w:rFonts w:asciiTheme="majorHAnsi" w:eastAsia="Times New Roman" w:hAnsiTheme="majorHAnsi" w:cstheme="majorHAnsi"/>
          <w:bCs/>
          <w:lang w:val="hr-HR"/>
        </w:rPr>
        <w:t xml:space="preserve"> kod poslovnih banaka</w:t>
      </w:r>
      <w:r w:rsidRPr="00834BAA">
        <w:rPr>
          <w:rFonts w:asciiTheme="majorHAnsi" w:eastAsia="Times New Roman" w:hAnsiTheme="majorHAnsi" w:cstheme="majorHAnsi"/>
          <w:bCs/>
          <w:lang w:val="hr-HR"/>
        </w:rPr>
        <w:t xml:space="preserve">. </w:t>
      </w:r>
    </w:p>
    <w:p w14:paraId="60662BD8" w14:textId="2709674E" w:rsidR="00000D74" w:rsidRDefault="00F713F1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noProof/>
          <w:lang w:val="hr-HR" w:eastAsia="hr-HR"/>
        </w:rPr>
      </w:pPr>
      <w:r w:rsidRPr="00653F50">
        <w:rPr>
          <w:rFonts w:asciiTheme="majorHAnsi" w:eastAsia="Times New Roman" w:hAnsiTheme="majorHAnsi" w:cstheme="majorHAnsi"/>
          <w:bCs/>
          <w:lang w:val="hr-HR"/>
        </w:rPr>
        <w:t xml:space="preserve">Subvencije </w:t>
      </w:r>
      <w:r w:rsidR="00000D74" w:rsidRPr="00653F50">
        <w:rPr>
          <w:rFonts w:asciiTheme="majorHAnsi" w:eastAsia="Times New Roman" w:hAnsiTheme="majorHAnsi" w:cstheme="majorHAnsi"/>
          <w:bCs/>
          <w:lang w:val="hr-HR"/>
        </w:rPr>
        <w:t>(35)</w:t>
      </w:r>
      <w:r w:rsidR="002D7AE2" w:rsidRPr="00653F50">
        <w:rPr>
          <w:rFonts w:asciiTheme="majorHAnsi" w:eastAsia="Times New Roman" w:hAnsiTheme="majorHAnsi" w:cstheme="majorHAnsi"/>
          <w:bCs/>
          <w:lang w:val="hr-HR"/>
        </w:rPr>
        <w:t xml:space="preserve"> </w:t>
      </w:r>
      <w:r w:rsidR="00000D74" w:rsidRPr="00653F50">
        <w:rPr>
          <w:rFonts w:asciiTheme="majorHAnsi" w:eastAsia="Times New Roman" w:hAnsiTheme="majorHAnsi" w:cstheme="majorHAnsi"/>
          <w:bCs/>
          <w:lang w:val="hr-HR"/>
        </w:rPr>
        <w:t>u 202</w:t>
      </w:r>
      <w:r w:rsidR="0039543F" w:rsidRPr="00653F50">
        <w:rPr>
          <w:rFonts w:asciiTheme="majorHAnsi" w:eastAsia="Times New Roman" w:hAnsiTheme="majorHAnsi" w:cstheme="majorHAnsi"/>
          <w:bCs/>
          <w:lang w:val="hr-HR"/>
        </w:rPr>
        <w:t>4</w:t>
      </w:r>
      <w:r w:rsidR="00000D74" w:rsidRPr="00653F50">
        <w:rPr>
          <w:rFonts w:asciiTheme="majorHAnsi" w:eastAsia="Times New Roman" w:hAnsiTheme="majorHAnsi" w:cstheme="majorHAnsi"/>
          <w:bCs/>
          <w:lang w:val="hr-HR"/>
        </w:rPr>
        <w:t xml:space="preserve">. </w:t>
      </w:r>
      <w:r w:rsidRPr="00653F50">
        <w:rPr>
          <w:rFonts w:asciiTheme="majorHAnsi" w:eastAsia="Times New Roman" w:hAnsiTheme="majorHAnsi" w:cstheme="majorHAnsi"/>
          <w:bCs/>
          <w:lang w:val="hr-HR"/>
        </w:rPr>
        <w:t xml:space="preserve"> smanjene </w:t>
      </w:r>
      <w:r w:rsidR="00000D74" w:rsidRPr="00653F50">
        <w:rPr>
          <w:rFonts w:asciiTheme="majorHAnsi" w:eastAsia="Times New Roman" w:hAnsiTheme="majorHAnsi" w:cstheme="majorHAnsi"/>
          <w:bCs/>
          <w:lang w:val="hr-HR"/>
        </w:rPr>
        <w:t xml:space="preserve">su </w:t>
      </w:r>
      <w:r w:rsidRPr="00653F50">
        <w:rPr>
          <w:rFonts w:asciiTheme="majorHAnsi" w:eastAsia="Times New Roman" w:hAnsiTheme="majorHAnsi" w:cstheme="majorHAnsi"/>
          <w:bCs/>
          <w:lang w:val="hr-HR"/>
        </w:rPr>
        <w:t xml:space="preserve">za </w:t>
      </w:r>
      <w:r w:rsidR="00FF7CE9" w:rsidRPr="00653F50">
        <w:rPr>
          <w:rFonts w:asciiTheme="majorHAnsi" w:eastAsia="Times New Roman" w:hAnsiTheme="majorHAnsi" w:cstheme="majorHAnsi"/>
          <w:bCs/>
          <w:lang w:val="hr-HR"/>
        </w:rPr>
        <w:t>57</w:t>
      </w:r>
      <w:r w:rsidRPr="00653F50">
        <w:rPr>
          <w:rFonts w:asciiTheme="majorHAnsi" w:eastAsia="Times New Roman" w:hAnsiTheme="majorHAnsi" w:cstheme="majorHAnsi"/>
          <w:bCs/>
          <w:lang w:val="hr-HR"/>
        </w:rPr>
        <w:t>,</w:t>
      </w:r>
      <w:r w:rsidR="00FF7CE9" w:rsidRPr="00653F50">
        <w:rPr>
          <w:rFonts w:asciiTheme="majorHAnsi" w:eastAsia="Times New Roman" w:hAnsiTheme="majorHAnsi" w:cstheme="majorHAnsi"/>
          <w:bCs/>
          <w:lang w:val="hr-HR"/>
        </w:rPr>
        <w:t>9</w:t>
      </w:r>
      <w:r w:rsidRPr="00653F50">
        <w:rPr>
          <w:rFonts w:asciiTheme="majorHAnsi" w:eastAsia="Times New Roman" w:hAnsiTheme="majorHAnsi" w:cstheme="majorHAnsi"/>
          <w:bCs/>
          <w:lang w:val="hr-HR"/>
        </w:rPr>
        <w:t xml:space="preserve">% </w:t>
      </w:r>
      <w:r w:rsidR="00000D74">
        <w:rPr>
          <w:rFonts w:asciiTheme="majorHAnsi" w:eastAsia="Times New Roman" w:hAnsiTheme="majorHAnsi" w:cstheme="majorHAnsi"/>
          <w:noProof/>
          <w:lang w:val="hr-HR" w:eastAsia="hr-HR"/>
        </w:rPr>
        <w:t>zbog završetka financijskog razdoblj</w:t>
      </w:r>
      <w:r w:rsidR="00323DB8">
        <w:rPr>
          <w:rFonts w:asciiTheme="majorHAnsi" w:eastAsia="Times New Roman" w:hAnsiTheme="majorHAnsi" w:cstheme="majorHAnsi"/>
          <w:noProof/>
          <w:lang w:val="hr-HR" w:eastAsia="hr-HR"/>
        </w:rPr>
        <w:t>a</w:t>
      </w:r>
      <w:r w:rsidR="00000D74">
        <w:rPr>
          <w:rFonts w:asciiTheme="majorHAnsi" w:eastAsia="Times New Roman" w:hAnsiTheme="majorHAnsi" w:cstheme="majorHAnsi"/>
          <w:noProof/>
          <w:lang w:val="hr-HR" w:eastAsia="hr-HR"/>
        </w:rPr>
        <w:t xml:space="preserve"> 2014.-2020. </w:t>
      </w:r>
    </w:p>
    <w:p w14:paraId="0B4400FD" w14:textId="73B35E49" w:rsidR="00000D74" w:rsidRDefault="00000D74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</w:t>
      </w:r>
      <w:r w:rsidR="00F713F1" w:rsidRPr="00CA0D8C">
        <w:rPr>
          <w:rFonts w:asciiTheme="majorHAnsi" w:hAnsiTheme="majorHAnsi" w:cstheme="majorHAnsi"/>
          <w:lang w:val="hr-HR"/>
        </w:rPr>
        <w:t>omoći dan</w:t>
      </w:r>
      <w:r w:rsidR="004343C7">
        <w:rPr>
          <w:rFonts w:asciiTheme="majorHAnsi" w:hAnsiTheme="majorHAnsi" w:cstheme="majorHAnsi"/>
          <w:lang w:val="hr-HR"/>
        </w:rPr>
        <w:t>ih</w:t>
      </w:r>
      <w:r w:rsidR="00F713F1" w:rsidRPr="00CA0D8C">
        <w:rPr>
          <w:rFonts w:asciiTheme="majorHAnsi" w:hAnsiTheme="majorHAnsi" w:cstheme="majorHAnsi"/>
          <w:lang w:val="hr-HR"/>
        </w:rPr>
        <w:t xml:space="preserve"> u inozemstvo i unutar općeg proračuna (36) </w:t>
      </w:r>
      <w:r w:rsidR="00E93514">
        <w:rPr>
          <w:rFonts w:asciiTheme="majorHAnsi" w:hAnsiTheme="majorHAnsi" w:cstheme="majorHAnsi"/>
          <w:lang w:val="hr-HR"/>
        </w:rPr>
        <w:t xml:space="preserve">nije bilo </w:t>
      </w:r>
      <w:r w:rsidR="00834BAA">
        <w:rPr>
          <w:rFonts w:asciiTheme="majorHAnsi" w:hAnsiTheme="majorHAnsi" w:cstheme="majorHAnsi"/>
          <w:lang w:val="hr-HR"/>
        </w:rPr>
        <w:t xml:space="preserve">radi </w:t>
      </w:r>
      <w:r w:rsidR="00834BAA" w:rsidRPr="00834BAA">
        <w:rPr>
          <w:rFonts w:asciiTheme="majorHAnsi" w:eastAsia="Times New Roman" w:hAnsiTheme="majorHAnsi" w:cstheme="majorHAnsi"/>
          <w:noProof/>
          <w:lang w:val="hr-HR" w:eastAsia="hr-HR"/>
        </w:rPr>
        <w:t>kašnjenja procesa ugovaranja prekograničnog Programa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 xml:space="preserve"> i</w:t>
      </w:r>
      <w:r w:rsidR="00834BAA" w:rsidRPr="00834BAA">
        <w:rPr>
          <w:rFonts w:asciiTheme="majorHAnsi" w:eastAsia="Times New Roman" w:hAnsiTheme="majorHAnsi" w:cstheme="majorHAnsi"/>
          <w:noProof/>
          <w:lang w:val="hr-HR" w:eastAsia="hr-HR"/>
        </w:rPr>
        <w:t xml:space="preserve"> projek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>a</w:t>
      </w:r>
      <w:r w:rsidR="00834BAA" w:rsidRPr="00834BAA">
        <w:rPr>
          <w:rFonts w:asciiTheme="majorHAnsi" w:eastAsia="Times New Roman" w:hAnsiTheme="majorHAnsi" w:cstheme="majorHAnsi"/>
          <w:noProof/>
          <w:lang w:val="hr-HR" w:eastAsia="hr-HR"/>
        </w:rPr>
        <w:t xml:space="preserve">ta u 2024. </w:t>
      </w:r>
      <w:r w:rsidR="00E93514">
        <w:rPr>
          <w:rFonts w:asciiTheme="majorHAnsi" w:eastAsia="Times New Roman" w:hAnsiTheme="majorHAnsi" w:cstheme="majorHAnsi"/>
          <w:noProof/>
          <w:lang w:val="hr-HR" w:eastAsia="hr-HR"/>
        </w:rPr>
        <w:t>I</w:t>
      </w:r>
      <w:r w:rsidR="00834BAA" w:rsidRPr="00834BAA">
        <w:rPr>
          <w:rFonts w:asciiTheme="majorHAnsi" w:eastAsia="Times New Roman" w:hAnsiTheme="majorHAnsi" w:cstheme="majorHAnsi"/>
          <w:noProof/>
          <w:lang w:val="hr-HR" w:eastAsia="hr-HR"/>
        </w:rPr>
        <w:t>sta će se intenzivirati u 2025. godini</w:t>
      </w:r>
      <w:r w:rsidR="00834BAA">
        <w:rPr>
          <w:rFonts w:asciiTheme="majorHAnsi" w:eastAsia="Times New Roman" w:hAnsiTheme="majorHAnsi" w:cstheme="majorHAnsi"/>
          <w:noProof/>
          <w:lang w:val="hr-HR" w:eastAsia="hr-HR"/>
        </w:rPr>
        <w:t>.</w:t>
      </w:r>
    </w:p>
    <w:p w14:paraId="66FDDB3A" w14:textId="0A2FE12D" w:rsidR="002D7AE2" w:rsidRDefault="002D7AE2" w:rsidP="00502D2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Ostali rashodi (38) s</w:t>
      </w:r>
      <w:r w:rsidR="00072915">
        <w:rPr>
          <w:rFonts w:asciiTheme="majorHAnsi" w:hAnsiTheme="majorHAnsi" w:cstheme="majorHAnsi"/>
          <w:lang w:val="hr-HR"/>
        </w:rPr>
        <w:t xml:space="preserve">u </w:t>
      </w:r>
      <w:r w:rsidR="00834BAA">
        <w:rPr>
          <w:rFonts w:asciiTheme="majorHAnsi" w:hAnsiTheme="majorHAnsi" w:cstheme="majorHAnsi"/>
          <w:lang w:val="hr-HR"/>
        </w:rPr>
        <w:t xml:space="preserve">smanjeni </w:t>
      </w:r>
      <w:r w:rsidR="00072915">
        <w:rPr>
          <w:rFonts w:asciiTheme="majorHAnsi" w:hAnsiTheme="majorHAnsi" w:cstheme="majorHAnsi"/>
          <w:lang w:val="hr-HR"/>
        </w:rPr>
        <w:t xml:space="preserve">za 15,5% u odnosu na prethodnu godinu radi smanjenja </w:t>
      </w:r>
      <w:r w:rsidR="00834BAA">
        <w:rPr>
          <w:rFonts w:asciiTheme="majorHAnsi" w:hAnsiTheme="majorHAnsi" w:cstheme="majorHAnsi"/>
          <w:lang w:val="hr-HR"/>
        </w:rPr>
        <w:t>broj</w:t>
      </w:r>
      <w:r w:rsidR="00072915">
        <w:rPr>
          <w:rFonts w:asciiTheme="majorHAnsi" w:hAnsiTheme="majorHAnsi" w:cstheme="majorHAnsi"/>
          <w:lang w:val="hr-HR"/>
        </w:rPr>
        <w:t>a</w:t>
      </w:r>
      <w:r w:rsidR="00834BAA">
        <w:rPr>
          <w:rFonts w:asciiTheme="majorHAnsi" w:hAnsiTheme="majorHAnsi" w:cstheme="majorHAnsi"/>
          <w:lang w:val="hr-HR"/>
        </w:rPr>
        <w:t xml:space="preserve"> protestiranih jamstava od strane poslovnih banaka</w:t>
      </w:r>
      <w:r w:rsidR="00FB3FA9">
        <w:rPr>
          <w:rFonts w:asciiTheme="majorHAnsi" w:hAnsiTheme="majorHAnsi" w:cstheme="majorHAnsi"/>
          <w:lang w:val="hr-HR"/>
        </w:rPr>
        <w:t xml:space="preserve"> obzirom da korisnici </w:t>
      </w:r>
      <w:r w:rsidR="00E93514">
        <w:rPr>
          <w:rFonts w:asciiTheme="majorHAnsi" w:hAnsiTheme="majorHAnsi" w:cstheme="majorHAnsi"/>
          <w:lang w:val="hr-HR"/>
        </w:rPr>
        <w:t xml:space="preserve">zajmova </w:t>
      </w:r>
      <w:r w:rsidR="00FB3FA9">
        <w:rPr>
          <w:rFonts w:asciiTheme="majorHAnsi" w:hAnsiTheme="majorHAnsi" w:cstheme="majorHAnsi"/>
          <w:lang w:val="hr-HR"/>
        </w:rPr>
        <w:t>urednije vraćaju obveze po zajmovima kod poslovnih banaka u odnosu na prethodne godine</w:t>
      </w:r>
      <w:r>
        <w:rPr>
          <w:rFonts w:asciiTheme="majorHAnsi" w:hAnsiTheme="majorHAnsi" w:cstheme="majorHAnsi"/>
          <w:lang w:val="hr-HR"/>
        </w:rPr>
        <w:t>.</w:t>
      </w:r>
    </w:p>
    <w:p w14:paraId="60F00494" w14:textId="77777777" w:rsidR="00A16D51" w:rsidRPr="002B6C17" w:rsidRDefault="00A16D51" w:rsidP="00CA0D8C">
      <w:pPr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hr-HR"/>
        </w:rPr>
      </w:pPr>
    </w:p>
    <w:p w14:paraId="4DE0226D" w14:textId="77777777" w:rsidR="009979C6" w:rsidRPr="002B6C17" w:rsidRDefault="009979C6" w:rsidP="00CA0D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hr-HR"/>
        </w:rPr>
      </w:pPr>
    </w:p>
    <w:p w14:paraId="2A959008" w14:textId="77777777" w:rsidR="009979C6" w:rsidRPr="00CA0D8C" w:rsidRDefault="009979C6" w:rsidP="00CA0D8C">
      <w:pPr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 w:cstheme="majorHAnsi"/>
          <w:b/>
          <w:lang w:val="hr-HR" w:eastAsia="hr-HR"/>
        </w:rPr>
      </w:pPr>
      <w:r w:rsidRPr="00CA0D8C">
        <w:rPr>
          <w:rFonts w:asciiTheme="majorHAnsi" w:eastAsia="Calibri" w:hAnsiTheme="majorHAnsi" w:cstheme="majorHAnsi"/>
          <w:b/>
          <w:lang w:val="hr-HR" w:eastAsia="hr-HR"/>
        </w:rPr>
        <w:t>PRIMICI</w:t>
      </w:r>
    </w:p>
    <w:p w14:paraId="46C353FB" w14:textId="77777777" w:rsidR="009979C6" w:rsidRPr="000E607E" w:rsidRDefault="009979C6" w:rsidP="00CA0D8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53263A81" w14:textId="6BB48A11" w:rsidR="00FC4084" w:rsidRDefault="00FC4084" w:rsidP="00FC4084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</w:rPr>
      </w:pPr>
      <w:proofErr w:type="spellStart"/>
      <w:r w:rsidRPr="002B6C17">
        <w:rPr>
          <w:rFonts w:asciiTheme="majorHAnsi" w:eastAsia="Times New Roman" w:hAnsiTheme="majorHAnsi" w:cstheme="majorHAnsi"/>
          <w:bCs/>
        </w:rPr>
        <w:t>Ukupni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</w:rPr>
        <w:t>primici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u 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razdoblju od 01.01.202</w:t>
      </w:r>
      <w:r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. – 31.12.202</w:t>
      </w:r>
      <w:r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. godine</w:t>
      </w:r>
      <w:r w:rsidRPr="002B6C17">
        <w:rPr>
          <w:rFonts w:asciiTheme="majorHAnsi" w:eastAsia="Times New Roman" w:hAnsiTheme="majorHAnsi" w:cstheme="majorHAnsi"/>
          <w:bCs/>
        </w:rPr>
        <w:t xml:space="preserve"> u </w:t>
      </w:r>
      <w:proofErr w:type="spellStart"/>
      <w:r w:rsidRPr="002B6C17">
        <w:rPr>
          <w:rFonts w:asciiTheme="majorHAnsi" w:eastAsia="Times New Roman" w:hAnsiTheme="majorHAnsi" w:cstheme="majorHAnsi"/>
          <w:bCs/>
        </w:rPr>
        <w:t>iznosu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od </w:t>
      </w:r>
      <w:r>
        <w:rPr>
          <w:rFonts w:ascii="Calibri Light" w:eastAsia="Times New Roman" w:hAnsi="Calibri Light" w:cs="Calibri Light"/>
          <w:color w:val="000000"/>
          <w:lang w:val="hr-HR" w:eastAsia="hr-HR"/>
        </w:rPr>
        <w:t>137.122.932,36</w:t>
      </w:r>
      <w:r w:rsidRPr="00502D26">
        <w:rPr>
          <w:rFonts w:ascii="Calibri Light" w:eastAsia="Times New Roman" w:hAnsi="Calibri Light" w:cs="Calibri Light"/>
          <w:color w:val="000000"/>
          <w:lang w:val="hr-HR" w:eastAsia="hr-HR"/>
        </w:rPr>
        <w:t xml:space="preserve"> EUR odnose se na: </w:t>
      </w:r>
      <w:r w:rsidRPr="002B6C17">
        <w:rPr>
          <w:rFonts w:asciiTheme="majorHAnsi" w:eastAsia="Times New Roman" w:hAnsiTheme="majorHAnsi" w:cstheme="majorHAnsi"/>
          <w:bCs/>
        </w:rPr>
        <w:t xml:space="preserve"> </w:t>
      </w:r>
    </w:p>
    <w:p w14:paraId="0743E7F4" w14:textId="77777777" w:rsidR="00FC4084" w:rsidRDefault="00FC4084" w:rsidP="00CA0D8C">
      <w:pPr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3EC01ABF" w14:textId="4A57580A" w:rsidR="008632C4" w:rsidRDefault="008632C4" w:rsidP="00CA0D8C">
      <w:pPr>
        <w:spacing w:line="276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8626" w:type="dxa"/>
        <w:tblLook w:val="04A0" w:firstRow="1" w:lastRow="0" w:firstColumn="1" w:lastColumn="0" w:noHBand="0" w:noVBand="1"/>
      </w:tblPr>
      <w:tblGrid>
        <w:gridCol w:w="2902"/>
        <w:gridCol w:w="2039"/>
        <w:gridCol w:w="2019"/>
        <w:gridCol w:w="1666"/>
      </w:tblGrid>
      <w:tr w:rsidR="008632C4" w:rsidRPr="008632C4" w14:paraId="19F9312C" w14:textId="77777777" w:rsidTr="007954D3">
        <w:trPr>
          <w:trHeight w:val="276"/>
        </w:trPr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ECDF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PRIMICI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1EE6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2023.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2903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2024.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0831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8632C4" w:rsidRPr="008632C4" w14:paraId="3D5409D3" w14:textId="77777777" w:rsidTr="007954D3">
        <w:trPr>
          <w:trHeight w:val="46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11B8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Primici od financijske imovine i zaduživanja (8)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842E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173.401.157,90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A55D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137.122.932,36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B3A9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79,1</w:t>
            </w:r>
          </w:p>
        </w:tc>
      </w:tr>
      <w:tr w:rsidR="008632C4" w:rsidRPr="008632C4" w14:paraId="25623340" w14:textId="77777777" w:rsidTr="007954D3">
        <w:trPr>
          <w:trHeight w:val="684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BCAA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Primljeni povrati glavnica danih zajmova i depozita (81)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BDDD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128.208.486,96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CE01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96.755.360,34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ECFB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75,5</w:t>
            </w:r>
          </w:p>
        </w:tc>
      </w:tr>
      <w:tr w:rsidR="008632C4" w:rsidRPr="008632C4" w14:paraId="24046248" w14:textId="77777777" w:rsidTr="007954D3">
        <w:trPr>
          <w:trHeight w:val="907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4DE77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Primici (povrati) glavnice zajmova danih trgovačkim društvima i obrtnicima izvan javnog sektora (816)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4842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91.046.100,61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DB54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96.755.360,34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E6B4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106,3</w:t>
            </w:r>
          </w:p>
        </w:tc>
      </w:tr>
      <w:tr w:rsidR="008632C4" w:rsidRPr="008632C4" w14:paraId="7382F550" w14:textId="77777777" w:rsidTr="007954D3">
        <w:trPr>
          <w:trHeight w:val="684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244B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Primici od povrata depozita i jamčevnih pologa (818)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3DAC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37.162.386,35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9C98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23407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val="hr-HR" w:eastAsia="hr-HR"/>
              </w:rPr>
              <w:t>0,0</w:t>
            </w:r>
          </w:p>
        </w:tc>
      </w:tr>
      <w:tr w:rsidR="008632C4" w:rsidRPr="008632C4" w14:paraId="5E4FD39F" w14:textId="77777777" w:rsidTr="007954D3">
        <w:trPr>
          <w:trHeight w:val="46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F92C" w14:textId="77777777" w:rsidR="008632C4" w:rsidRPr="008632C4" w:rsidRDefault="008632C4" w:rsidP="008632C4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Primici od zaduživanja  (84)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D13E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45.192.670,94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2393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40.367.572,02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8608" w14:textId="77777777" w:rsidR="008632C4" w:rsidRPr="008632C4" w:rsidRDefault="008632C4" w:rsidP="008632C4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632C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89,3</w:t>
            </w:r>
          </w:p>
        </w:tc>
      </w:tr>
    </w:tbl>
    <w:p w14:paraId="03362E6D" w14:textId="77777777" w:rsidR="007954D3" w:rsidRDefault="007954D3" w:rsidP="007954D3">
      <w:pPr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183C131C" w14:textId="31883FDA" w:rsidR="007954D3" w:rsidRDefault="007954D3" w:rsidP="007954D3">
      <w:pPr>
        <w:spacing w:line="276" w:lineRule="auto"/>
        <w:jc w:val="both"/>
        <w:rPr>
          <w:rFonts w:asciiTheme="majorHAnsi" w:eastAsia="Times New Roman" w:hAnsiTheme="majorHAnsi" w:cstheme="majorHAnsi"/>
        </w:rPr>
      </w:pPr>
      <w:proofErr w:type="spellStart"/>
      <w:r w:rsidRPr="001A2B4A">
        <w:rPr>
          <w:rFonts w:asciiTheme="majorHAnsi" w:eastAsia="Times New Roman" w:hAnsiTheme="majorHAnsi" w:cstheme="majorHAnsi"/>
        </w:rPr>
        <w:t>Ukupni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primici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od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financijske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imovine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i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zaduživanja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(8) </w:t>
      </w:r>
      <w:r>
        <w:rPr>
          <w:rFonts w:asciiTheme="majorHAnsi" w:eastAsia="Times New Roman" w:hAnsiTheme="majorHAnsi" w:cstheme="majorHAnsi"/>
        </w:rPr>
        <w:t xml:space="preserve">u 2024. </w:t>
      </w:r>
      <w:proofErr w:type="spellStart"/>
      <w:r>
        <w:rPr>
          <w:rFonts w:asciiTheme="majorHAnsi" w:eastAsia="Times New Roman" w:hAnsiTheme="majorHAnsi" w:cstheme="majorHAnsi"/>
        </w:rPr>
        <w:t>godini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smanjeni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su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r w:rsidRPr="001A2B4A">
        <w:rPr>
          <w:rFonts w:asciiTheme="majorHAnsi" w:eastAsia="Times New Roman" w:hAnsiTheme="majorHAnsi" w:cstheme="majorHAnsi"/>
        </w:rPr>
        <w:t xml:space="preserve">u </w:t>
      </w:r>
      <w:proofErr w:type="spellStart"/>
      <w:r w:rsidRPr="001A2B4A">
        <w:rPr>
          <w:rFonts w:asciiTheme="majorHAnsi" w:eastAsia="Times New Roman" w:hAnsiTheme="majorHAnsi" w:cstheme="majorHAnsi"/>
        </w:rPr>
        <w:t>odnosu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na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prethodnu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godinu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za 20,9%</w:t>
      </w:r>
      <w:r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  <w:bCs/>
          <w:lang w:val="pt-BR"/>
        </w:rPr>
        <w:t>kako slijedi:</w:t>
      </w:r>
    </w:p>
    <w:p w14:paraId="1284076D" w14:textId="2BF3B053" w:rsidR="00FC4084" w:rsidRDefault="00FC4084" w:rsidP="00CA0D8C">
      <w:pPr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7913EE88" w14:textId="2B1D83B8" w:rsidR="00D50B17" w:rsidRPr="001A2B4A" w:rsidRDefault="007954D3" w:rsidP="00CA0D8C">
      <w:pPr>
        <w:spacing w:line="276" w:lineRule="auto"/>
        <w:jc w:val="both"/>
        <w:rPr>
          <w:rFonts w:asciiTheme="majorHAnsi" w:eastAsia="Times New Roman" w:hAnsiTheme="majorHAnsi" w:cstheme="majorHAnsi"/>
        </w:rPr>
      </w:pPr>
      <w:proofErr w:type="spellStart"/>
      <w:r>
        <w:rPr>
          <w:rFonts w:asciiTheme="majorHAnsi" w:eastAsia="Times New Roman" w:hAnsiTheme="majorHAnsi" w:cstheme="majorHAnsi"/>
        </w:rPr>
        <w:t>P</w:t>
      </w:r>
      <w:r w:rsidR="00980681">
        <w:rPr>
          <w:rFonts w:asciiTheme="majorHAnsi" w:eastAsia="Times New Roman" w:hAnsiTheme="majorHAnsi" w:cstheme="majorHAnsi"/>
        </w:rPr>
        <w:t>rimljeni</w:t>
      </w:r>
      <w:proofErr w:type="spellEnd"/>
      <w:r w:rsidR="00980681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(</w:t>
      </w:r>
      <w:proofErr w:type="spellStart"/>
      <w:r w:rsidR="00980681">
        <w:rPr>
          <w:rFonts w:asciiTheme="majorHAnsi" w:eastAsia="Times New Roman" w:hAnsiTheme="majorHAnsi" w:cstheme="majorHAnsi"/>
        </w:rPr>
        <w:t>povrati</w:t>
      </w:r>
      <w:proofErr w:type="spellEnd"/>
      <w:r>
        <w:rPr>
          <w:rFonts w:asciiTheme="majorHAnsi" w:eastAsia="Times New Roman" w:hAnsiTheme="majorHAnsi" w:cstheme="majorHAnsi"/>
        </w:rPr>
        <w:t>)</w:t>
      </w:r>
      <w:r w:rsidR="00980681">
        <w:rPr>
          <w:rFonts w:asciiTheme="majorHAnsi" w:eastAsia="Times New Roman" w:hAnsiTheme="majorHAnsi" w:cstheme="majorHAnsi"/>
        </w:rPr>
        <w:t xml:space="preserve"> </w:t>
      </w:r>
      <w:proofErr w:type="spellStart"/>
      <w:r w:rsidR="00980681">
        <w:rPr>
          <w:rFonts w:asciiTheme="majorHAnsi" w:eastAsia="Times New Roman" w:hAnsiTheme="majorHAnsi" w:cstheme="majorHAnsi"/>
        </w:rPr>
        <w:t>glavnic</w:t>
      </w:r>
      <w:r>
        <w:rPr>
          <w:rFonts w:asciiTheme="majorHAnsi" w:eastAsia="Times New Roman" w:hAnsiTheme="majorHAnsi" w:cstheme="majorHAnsi"/>
        </w:rPr>
        <w:t>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 w:rsidR="00980681">
        <w:rPr>
          <w:rFonts w:asciiTheme="majorHAnsi" w:eastAsia="Times New Roman" w:hAnsiTheme="majorHAnsi" w:cstheme="majorHAnsi"/>
        </w:rPr>
        <w:t>zajmova</w:t>
      </w:r>
      <w:proofErr w:type="spellEnd"/>
      <w:r w:rsidR="00980681"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danih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trgovačkim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društvima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obrtnicima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izvan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javnog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sektora</w:t>
      </w:r>
      <w:proofErr w:type="spellEnd"/>
      <w:r>
        <w:rPr>
          <w:rFonts w:asciiTheme="majorHAnsi" w:eastAsia="Times New Roman" w:hAnsiTheme="majorHAnsi" w:cstheme="majorHAnsi"/>
        </w:rPr>
        <w:t xml:space="preserve"> (816) </w:t>
      </w:r>
      <w:proofErr w:type="spellStart"/>
      <w:r>
        <w:rPr>
          <w:rFonts w:asciiTheme="majorHAnsi" w:eastAsia="Times New Roman" w:hAnsiTheme="majorHAnsi" w:cstheme="majorHAnsi"/>
        </w:rPr>
        <w:t>su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povećani</w:t>
      </w:r>
      <w:proofErr w:type="spellEnd"/>
      <w:r>
        <w:rPr>
          <w:rFonts w:asciiTheme="majorHAnsi" w:eastAsia="Times New Roman" w:hAnsiTheme="majorHAnsi" w:cstheme="majorHAnsi"/>
        </w:rPr>
        <w:t xml:space="preserve"> za 6,3% </w:t>
      </w:r>
      <w:proofErr w:type="spellStart"/>
      <w:r>
        <w:rPr>
          <w:rFonts w:asciiTheme="majorHAnsi" w:eastAsia="Times New Roman" w:hAnsiTheme="majorHAnsi" w:cstheme="majorHAnsi"/>
        </w:rPr>
        <w:t>usljed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povrata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ranije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plasiranih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zajmova</w:t>
      </w:r>
      <w:proofErr w:type="spellEnd"/>
      <w:r>
        <w:rPr>
          <w:rFonts w:asciiTheme="majorHAnsi" w:eastAsia="Times New Roman" w:hAnsiTheme="majorHAnsi" w:cstheme="majorHAnsi"/>
        </w:rPr>
        <w:t xml:space="preserve">, </w:t>
      </w:r>
      <w:proofErr w:type="spellStart"/>
      <w:r>
        <w:rPr>
          <w:rFonts w:asciiTheme="majorHAnsi" w:eastAsia="Times New Roman" w:hAnsiTheme="majorHAnsi" w:cstheme="majorHAnsi"/>
        </w:rPr>
        <w:t>dok</w:t>
      </w:r>
      <w:proofErr w:type="spellEnd"/>
      <w:r>
        <w:rPr>
          <w:rFonts w:asciiTheme="majorHAnsi" w:eastAsia="Times New Roman" w:hAnsiTheme="majorHAnsi" w:cstheme="majorHAnsi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</w:rPr>
        <w:t>veliko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smanjenje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odnosi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primitke</w:t>
      </w:r>
      <w:proofErr w:type="spellEnd"/>
      <w:r>
        <w:rPr>
          <w:rFonts w:asciiTheme="majorHAnsi" w:eastAsia="Times New Roman" w:hAnsiTheme="majorHAnsi" w:cstheme="majorHAnsi"/>
        </w:rPr>
        <w:t xml:space="preserve"> od </w:t>
      </w:r>
      <w:proofErr w:type="spellStart"/>
      <w:r>
        <w:rPr>
          <w:rFonts w:asciiTheme="majorHAnsi" w:eastAsia="Times New Roman" w:hAnsiTheme="majorHAnsi" w:cstheme="majorHAnsi"/>
        </w:rPr>
        <w:t>povrata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depozita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jamčevnih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pologa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kojih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nije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bilo</w:t>
      </w:r>
      <w:proofErr w:type="spellEnd"/>
      <w:r>
        <w:rPr>
          <w:rFonts w:asciiTheme="majorHAnsi" w:eastAsia="Times New Roman" w:hAnsiTheme="majorHAnsi" w:cstheme="majorHAnsi"/>
        </w:rPr>
        <w:t xml:space="preserve"> u 2024. </w:t>
      </w:r>
      <w:proofErr w:type="spellStart"/>
      <w:r>
        <w:rPr>
          <w:rFonts w:asciiTheme="majorHAnsi" w:eastAsia="Times New Roman" w:hAnsiTheme="majorHAnsi" w:cstheme="majorHAnsi"/>
        </w:rPr>
        <w:t>godini</w:t>
      </w:r>
      <w:proofErr w:type="spellEnd"/>
      <w:r>
        <w:rPr>
          <w:rFonts w:asciiTheme="majorHAnsi" w:eastAsia="Times New Roman" w:hAnsiTheme="majorHAnsi" w:cstheme="majorHAnsi"/>
        </w:rPr>
        <w:t xml:space="preserve">. </w:t>
      </w:r>
      <w:r w:rsidR="001A2B4A">
        <w:rPr>
          <w:rFonts w:asciiTheme="majorHAnsi" w:eastAsia="Times New Roman" w:hAnsiTheme="majorHAnsi" w:cstheme="majorHAnsi"/>
        </w:rPr>
        <w:t xml:space="preserve">Naime, u 2024. </w:t>
      </w:r>
      <w:proofErr w:type="spellStart"/>
      <w:r w:rsidR="001A2B4A">
        <w:rPr>
          <w:rFonts w:asciiTheme="majorHAnsi" w:eastAsia="Times New Roman" w:hAnsiTheme="majorHAnsi" w:cstheme="majorHAnsi"/>
        </w:rPr>
        <w:t>godini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nije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bilo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višegodišnjih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oročenja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sredstava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radi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3729F0">
        <w:rPr>
          <w:rFonts w:asciiTheme="majorHAnsi" w:eastAsia="Times New Roman" w:hAnsiTheme="majorHAnsi" w:cstheme="majorHAnsi"/>
        </w:rPr>
        <w:t>povoljniji</w:t>
      </w:r>
      <w:r w:rsidR="001A2B4A">
        <w:rPr>
          <w:rFonts w:asciiTheme="majorHAnsi" w:eastAsia="Times New Roman" w:hAnsiTheme="majorHAnsi" w:cstheme="majorHAnsi"/>
        </w:rPr>
        <w:t>h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kamatnih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1A2B4A">
        <w:rPr>
          <w:rFonts w:asciiTheme="majorHAnsi" w:eastAsia="Times New Roman" w:hAnsiTheme="majorHAnsi" w:cstheme="majorHAnsi"/>
        </w:rPr>
        <w:t>stopa</w:t>
      </w:r>
      <w:proofErr w:type="spellEnd"/>
      <w:r w:rsidR="001A2B4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AF37E6">
        <w:rPr>
          <w:rFonts w:asciiTheme="majorHAnsi" w:eastAsia="Times New Roman" w:hAnsiTheme="majorHAnsi" w:cstheme="majorHAnsi"/>
        </w:rPr>
        <w:t>na</w:t>
      </w:r>
      <w:proofErr w:type="spellEnd"/>
      <w:r w:rsidR="00AF37E6">
        <w:rPr>
          <w:rFonts w:asciiTheme="majorHAnsi" w:eastAsia="Times New Roman" w:hAnsiTheme="majorHAnsi" w:cstheme="majorHAnsi"/>
        </w:rPr>
        <w:t xml:space="preserve"> </w:t>
      </w:r>
      <w:proofErr w:type="spellStart"/>
      <w:r w:rsidR="00AF37E6">
        <w:rPr>
          <w:rFonts w:asciiTheme="majorHAnsi" w:eastAsia="Times New Roman" w:hAnsiTheme="majorHAnsi" w:cstheme="majorHAnsi"/>
        </w:rPr>
        <w:t>kraće</w:t>
      </w:r>
      <w:proofErr w:type="spellEnd"/>
      <w:r w:rsidR="00AF37E6">
        <w:rPr>
          <w:rFonts w:asciiTheme="majorHAnsi" w:eastAsia="Times New Roman" w:hAnsiTheme="majorHAnsi" w:cstheme="majorHAnsi"/>
        </w:rPr>
        <w:t xml:space="preserve"> </w:t>
      </w:r>
      <w:proofErr w:type="spellStart"/>
      <w:r w:rsidR="00AF37E6">
        <w:rPr>
          <w:rFonts w:asciiTheme="majorHAnsi" w:eastAsia="Times New Roman" w:hAnsiTheme="majorHAnsi" w:cstheme="majorHAnsi"/>
        </w:rPr>
        <w:t>rokove</w:t>
      </w:r>
      <w:proofErr w:type="spellEnd"/>
      <w:r w:rsidR="003729F0">
        <w:rPr>
          <w:rFonts w:asciiTheme="majorHAnsi" w:eastAsia="Times New Roman" w:hAnsiTheme="majorHAnsi" w:cstheme="majorHAnsi"/>
        </w:rPr>
        <w:t xml:space="preserve"> </w:t>
      </w:r>
      <w:proofErr w:type="spellStart"/>
      <w:r w:rsidR="003729F0">
        <w:rPr>
          <w:rFonts w:asciiTheme="majorHAnsi" w:eastAsia="Times New Roman" w:hAnsiTheme="majorHAnsi" w:cstheme="majorHAnsi"/>
        </w:rPr>
        <w:t>oročavanja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iste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nismo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imali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prijelazu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iz</w:t>
      </w:r>
      <w:proofErr w:type="spellEnd"/>
      <w:r>
        <w:rPr>
          <w:rFonts w:asciiTheme="majorHAnsi" w:eastAsia="Times New Roman" w:hAnsiTheme="majorHAnsi" w:cstheme="majorHAnsi"/>
        </w:rPr>
        <w:t xml:space="preserve"> 2024.</w:t>
      </w:r>
      <w:r w:rsidR="009428B6">
        <w:rPr>
          <w:rFonts w:asciiTheme="majorHAnsi" w:eastAsia="Times New Roman" w:hAnsiTheme="majorHAnsi" w:cstheme="majorHAnsi"/>
        </w:rPr>
        <w:t xml:space="preserve"> </w:t>
      </w:r>
      <w:proofErr w:type="spellStart"/>
      <w:r w:rsidR="009428B6">
        <w:rPr>
          <w:rFonts w:asciiTheme="majorHAnsi" w:eastAsia="Times New Roman" w:hAnsiTheme="majorHAnsi" w:cstheme="majorHAnsi"/>
        </w:rPr>
        <w:t>godine</w:t>
      </w:r>
      <w:proofErr w:type="spellEnd"/>
      <w:r w:rsidR="009428B6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u 2025.</w:t>
      </w:r>
      <w:r w:rsidR="009428B6">
        <w:rPr>
          <w:rFonts w:asciiTheme="majorHAnsi" w:eastAsia="Times New Roman" w:hAnsiTheme="majorHAnsi" w:cstheme="majorHAnsi"/>
        </w:rPr>
        <w:t xml:space="preserve"> </w:t>
      </w:r>
      <w:proofErr w:type="spellStart"/>
      <w:r w:rsidR="009428B6">
        <w:rPr>
          <w:rFonts w:asciiTheme="majorHAnsi" w:eastAsia="Times New Roman" w:hAnsiTheme="majorHAnsi" w:cstheme="majorHAnsi"/>
        </w:rPr>
        <w:t>godinu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A2B4A">
        <w:rPr>
          <w:rFonts w:asciiTheme="majorHAnsi" w:eastAsia="Times New Roman" w:hAnsiTheme="majorHAnsi" w:cstheme="majorHAnsi"/>
        </w:rPr>
        <w:t>uslijed</w:t>
      </w:r>
      <w:proofErr w:type="spellEnd"/>
      <w:r w:rsidRPr="001A2B4A"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najave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novog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načina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evidentiranja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povrata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dugoročnih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depozita</w:t>
      </w:r>
      <w:proofErr w:type="spellEnd"/>
      <w:r>
        <w:rPr>
          <w:rFonts w:asciiTheme="majorHAnsi" w:eastAsia="Times New Roman" w:hAnsiTheme="majorHAnsi" w:cstheme="majorHAnsi"/>
        </w:rPr>
        <w:t>.</w:t>
      </w:r>
    </w:p>
    <w:p w14:paraId="4F0EF58C" w14:textId="77777777" w:rsidR="00986A07" w:rsidRPr="001A2B4A" w:rsidRDefault="00986A07" w:rsidP="00CA0D8C">
      <w:pPr>
        <w:spacing w:line="276" w:lineRule="auto"/>
        <w:jc w:val="both"/>
        <w:rPr>
          <w:rFonts w:asciiTheme="minorHAnsi" w:eastAsia="Times New Roman" w:hAnsiTheme="minorHAnsi" w:cstheme="minorHAnsi"/>
          <w:color w:val="2E74B5" w:themeColor="accent5" w:themeShade="BF"/>
        </w:rPr>
      </w:pPr>
    </w:p>
    <w:p w14:paraId="150C8618" w14:textId="431613FA" w:rsidR="00A46FC8" w:rsidRDefault="00986A07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857C3C">
        <w:rPr>
          <w:rFonts w:asciiTheme="majorHAnsi" w:hAnsiTheme="majorHAnsi" w:cstheme="majorHAnsi"/>
          <w:lang w:val="hr-HR"/>
        </w:rPr>
        <w:t>Primici od zaduživanja</w:t>
      </w:r>
      <w:r w:rsidR="00610542">
        <w:rPr>
          <w:rFonts w:asciiTheme="majorHAnsi" w:hAnsiTheme="majorHAnsi" w:cstheme="majorHAnsi"/>
          <w:lang w:val="hr-HR"/>
        </w:rPr>
        <w:t xml:space="preserve"> (84)</w:t>
      </w:r>
      <w:r w:rsidRPr="00857C3C">
        <w:rPr>
          <w:rFonts w:asciiTheme="majorHAnsi" w:hAnsiTheme="majorHAnsi" w:cstheme="majorHAnsi"/>
          <w:lang w:val="hr-HR"/>
        </w:rPr>
        <w:t xml:space="preserve"> </w:t>
      </w:r>
      <w:r w:rsidR="00610542" w:rsidRPr="00610542">
        <w:rPr>
          <w:rFonts w:asciiTheme="majorHAnsi" w:hAnsiTheme="majorHAnsi" w:cstheme="majorHAnsi"/>
          <w:lang w:val="hr-HR"/>
        </w:rPr>
        <w:t xml:space="preserve">iznose </w:t>
      </w:r>
      <w:r w:rsidR="00AF37E6">
        <w:rPr>
          <w:rFonts w:asciiTheme="majorHAnsi" w:hAnsiTheme="majorHAnsi" w:cstheme="majorHAnsi"/>
          <w:lang w:val="hr-HR"/>
        </w:rPr>
        <w:t xml:space="preserve">40.367.572,02 </w:t>
      </w:r>
      <w:r w:rsidR="00610542" w:rsidRPr="002B6C17">
        <w:rPr>
          <w:rFonts w:asciiTheme="majorHAnsi" w:eastAsia="Times New Roman" w:hAnsiTheme="majorHAnsi" w:cstheme="majorHAnsi"/>
          <w:lang w:val="hr-HR"/>
        </w:rPr>
        <w:t xml:space="preserve">EUR </w:t>
      </w:r>
      <w:r w:rsidR="00610542">
        <w:rPr>
          <w:rFonts w:asciiTheme="majorHAnsi" w:hAnsiTheme="majorHAnsi" w:cstheme="majorHAnsi"/>
          <w:lang w:val="hr-HR"/>
        </w:rPr>
        <w:t xml:space="preserve">te </w:t>
      </w:r>
      <w:r w:rsidRPr="00857C3C">
        <w:rPr>
          <w:rFonts w:asciiTheme="majorHAnsi" w:hAnsiTheme="majorHAnsi" w:cstheme="majorHAnsi"/>
          <w:lang w:val="hr-HR"/>
        </w:rPr>
        <w:t xml:space="preserve">su u odnosu na prethodnu godinu </w:t>
      </w:r>
      <w:r w:rsidR="00AF37E6">
        <w:rPr>
          <w:rFonts w:asciiTheme="majorHAnsi" w:hAnsiTheme="majorHAnsi" w:cstheme="majorHAnsi"/>
          <w:lang w:val="hr-HR"/>
        </w:rPr>
        <w:t>smanjen</w:t>
      </w:r>
      <w:r w:rsidR="00857C3C" w:rsidRPr="00857C3C">
        <w:rPr>
          <w:rFonts w:asciiTheme="majorHAnsi" w:hAnsiTheme="majorHAnsi" w:cstheme="majorHAnsi"/>
          <w:lang w:val="hr-HR"/>
        </w:rPr>
        <w:t>i</w:t>
      </w:r>
      <w:r w:rsidRPr="00857C3C">
        <w:rPr>
          <w:rFonts w:asciiTheme="majorHAnsi" w:hAnsiTheme="majorHAnsi" w:cstheme="majorHAnsi"/>
          <w:lang w:val="hr-HR"/>
        </w:rPr>
        <w:t xml:space="preserve"> za </w:t>
      </w:r>
      <w:r w:rsidR="00857C3C" w:rsidRPr="00857C3C">
        <w:rPr>
          <w:rFonts w:asciiTheme="majorHAnsi" w:hAnsiTheme="majorHAnsi" w:cstheme="majorHAnsi"/>
          <w:lang w:val="hr-HR"/>
        </w:rPr>
        <w:t>1</w:t>
      </w:r>
      <w:r w:rsidR="00AF37E6">
        <w:rPr>
          <w:rFonts w:asciiTheme="majorHAnsi" w:hAnsiTheme="majorHAnsi" w:cstheme="majorHAnsi"/>
          <w:lang w:val="hr-HR"/>
        </w:rPr>
        <w:t>0</w:t>
      </w:r>
      <w:r w:rsidR="00857C3C" w:rsidRPr="00857C3C">
        <w:rPr>
          <w:rFonts w:asciiTheme="majorHAnsi" w:hAnsiTheme="majorHAnsi" w:cstheme="majorHAnsi"/>
          <w:lang w:val="hr-HR"/>
        </w:rPr>
        <w:t>,</w:t>
      </w:r>
      <w:r w:rsidR="00AF37E6">
        <w:rPr>
          <w:rFonts w:asciiTheme="majorHAnsi" w:hAnsiTheme="majorHAnsi" w:cstheme="majorHAnsi"/>
          <w:lang w:val="hr-HR"/>
        </w:rPr>
        <w:t>7</w:t>
      </w:r>
      <w:r w:rsidRPr="00857C3C">
        <w:rPr>
          <w:rFonts w:asciiTheme="majorHAnsi" w:hAnsiTheme="majorHAnsi" w:cstheme="majorHAnsi"/>
          <w:lang w:val="hr-HR"/>
        </w:rPr>
        <w:t xml:space="preserve">% uslijed </w:t>
      </w:r>
      <w:r w:rsidR="00AF37E6">
        <w:rPr>
          <w:rFonts w:asciiTheme="majorHAnsi" w:hAnsiTheme="majorHAnsi" w:cstheme="majorHAnsi"/>
          <w:lang w:val="hr-HR"/>
        </w:rPr>
        <w:t xml:space="preserve">smanjenog obujma </w:t>
      </w:r>
      <w:r w:rsidR="00092C86">
        <w:rPr>
          <w:rFonts w:asciiTheme="majorHAnsi" w:hAnsiTheme="majorHAnsi" w:cstheme="majorHAnsi"/>
          <w:lang w:val="hr-HR"/>
        </w:rPr>
        <w:t>plasiran</w:t>
      </w:r>
      <w:r w:rsidR="00AF37E6">
        <w:rPr>
          <w:rFonts w:asciiTheme="majorHAnsi" w:hAnsiTheme="majorHAnsi" w:cstheme="majorHAnsi"/>
          <w:lang w:val="hr-HR"/>
        </w:rPr>
        <w:t>ih</w:t>
      </w:r>
      <w:r w:rsidR="00092C86">
        <w:rPr>
          <w:rFonts w:asciiTheme="majorHAnsi" w:hAnsiTheme="majorHAnsi" w:cstheme="majorHAnsi"/>
          <w:lang w:val="hr-HR"/>
        </w:rPr>
        <w:t xml:space="preserve"> zajmova za financijske instrumente iz Europskog poljoprivrednog fonda za ruralni razvoj i </w:t>
      </w:r>
      <w:r w:rsidR="005619BB">
        <w:rPr>
          <w:rFonts w:asciiTheme="majorHAnsi" w:hAnsiTheme="majorHAnsi" w:cstheme="majorHAnsi"/>
          <w:lang w:val="hr-HR"/>
        </w:rPr>
        <w:t xml:space="preserve">završetka plasmana i iskorištenosti dodjeljene alokacije iz </w:t>
      </w:r>
      <w:r w:rsidR="00092C86">
        <w:rPr>
          <w:rFonts w:asciiTheme="majorHAnsi" w:hAnsiTheme="majorHAnsi" w:cstheme="majorHAnsi"/>
          <w:lang w:val="hr-HR"/>
        </w:rPr>
        <w:t xml:space="preserve">Mehanizma za oporavak i otpornost. </w:t>
      </w:r>
    </w:p>
    <w:p w14:paraId="4E75C9E8" w14:textId="77777777" w:rsidR="00A46FC8" w:rsidRDefault="00A46FC8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14:paraId="60ABD6DF" w14:textId="77777777" w:rsidR="00AC4696" w:rsidRDefault="00AC4696" w:rsidP="00CA0D8C">
      <w:pPr>
        <w:spacing w:line="276" w:lineRule="auto"/>
        <w:jc w:val="both"/>
        <w:rPr>
          <w:rFonts w:asciiTheme="minorHAnsi" w:eastAsia="Times New Roman" w:hAnsiTheme="minorHAnsi" w:cstheme="minorHAnsi"/>
          <w:lang w:val="hr-HR"/>
        </w:rPr>
      </w:pPr>
    </w:p>
    <w:p w14:paraId="1007ABF3" w14:textId="77777777" w:rsidR="007A4976" w:rsidRDefault="007A4976" w:rsidP="00CA0D8C">
      <w:pPr>
        <w:spacing w:line="276" w:lineRule="auto"/>
        <w:jc w:val="both"/>
        <w:rPr>
          <w:rFonts w:asciiTheme="minorHAnsi" w:eastAsia="Times New Roman" w:hAnsiTheme="minorHAnsi" w:cstheme="minorHAnsi"/>
          <w:lang w:val="hr-HR"/>
        </w:rPr>
      </w:pPr>
    </w:p>
    <w:p w14:paraId="1A03DBC1" w14:textId="77777777" w:rsidR="007A4976" w:rsidRDefault="007A4976" w:rsidP="00CA0D8C">
      <w:pPr>
        <w:spacing w:line="276" w:lineRule="auto"/>
        <w:jc w:val="both"/>
        <w:rPr>
          <w:rFonts w:asciiTheme="minorHAnsi" w:eastAsia="Times New Roman" w:hAnsiTheme="minorHAnsi" w:cstheme="minorHAnsi"/>
          <w:lang w:val="hr-HR"/>
        </w:rPr>
      </w:pPr>
    </w:p>
    <w:p w14:paraId="4E040189" w14:textId="0ABBCD73" w:rsidR="007A4976" w:rsidRPr="002B6C17" w:rsidRDefault="007A4976" w:rsidP="007A4976">
      <w:pPr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br w:type="page"/>
      </w:r>
    </w:p>
    <w:p w14:paraId="58017175" w14:textId="3EEC6F7F" w:rsidR="009979C6" w:rsidRPr="00D131C9" w:rsidRDefault="009979C6" w:rsidP="00CA0D8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/>
        </w:rPr>
      </w:pPr>
      <w:r w:rsidRPr="00D131C9">
        <w:rPr>
          <w:rFonts w:asciiTheme="majorHAnsi" w:eastAsia="Times New Roman" w:hAnsiTheme="majorHAnsi" w:cstheme="majorHAnsi"/>
          <w:b/>
        </w:rPr>
        <w:lastRenderedPageBreak/>
        <w:t>IZDACI</w:t>
      </w:r>
    </w:p>
    <w:p w14:paraId="4A6A81C6" w14:textId="77777777" w:rsidR="009979C6" w:rsidRPr="00EA6586" w:rsidRDefault="009979C6" w:rsidP="00CA0D8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b/>
          <w:color w:val="FF0000"/>
        </w:rPr>
      </w:pPr>
    </w:p>
    <w:p w14:paraId="5C0BB7DB" w14:textId="03576200" w:rsidR="003803BC" w:rsidRDefault="003803BC" w:rsidP="003803B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</w:rPr>
      </w:pPr>
      <w:proofErr w:type="spellStart"/>
      <w:r w:rsidRPr="002B6C17">
        <w:rPr>
          <w:rFonts w:asciiTheme="majorHAnsi" w:eastAsia="Times New Roman" w:hAnsiTheme="majorHAnsi" w:cstheme="majorHAnsi"/>
          <w:bCs/>
        </w:rPr>
        <w:t>Ukupni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</w:rPr>
        <w:t>izdaci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u 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razdoblju od 01.01.202</w:t>
      </w:r>
      <w:r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. – 31.12.202</w:t>
      </w:r>
      <w:r>
        <w:rPr>
          <w:rFonts w:asciiTheme="majorHAnsi" w:eastAsia="Times New Roman" w:hAnsiTheme="majorHAnsi" w:cstheme="majorHAnsi"/>
          <w:noProof/>
          <w:lang w:val="hr-HR" w:eastAsia="hr-HR"/>
        </w:rPr>
        <w:t>4</w:t>
      </w:r>
      <w:r w:rsidRPr="00502D26">
        <w:rPr>
          <w:rFonts w:asciiTheme="majorHAnsi" w:eastAsia="Times New Roman" w:hAnsiTheme="majorHAnsi" w:cstheme="majorHAnsi"/>
          <w:noProof/>
          <w:lang w:val="hr-HR" w:eastAsia="hr-HR"/>
        </w:rPr>
        <w:t>. godine</w:t>
      </w:r>
      <w:r w:rsidRPr="002B6C17">
        <w:rPr>
          <w:rFonts w:asciiTheme="majorHAnsi" w:eastAsia="Times New Roman" w:hAnsiTheme="majorHAnsi" w:cstheme="majorHAnsi"/>
          <w:bCs/>
        </w:rPr>
        <w:t xml:space="preserve"> u </w:t>
      </w:r>
      <w:proofErr w:type="spellStart"/>
      <w:r w:rsidRPr="002B6C17">
        <w:rPr>
          <w:rFonts w:asciiTheme="majorHAnsi" w:eastAsia="Times New Roman" w:hAnsiTheme="majorHAnsi" w:cstheme="majorHAnsi"/>
          <w:bCs/>
        </w:rPr>
        <w:t>iznosu</w:t>
      </w:r>
      <w:proofErr w:type="spellEnd"/>
      <w:r w:rsidRPr="002B6C17">
        <w:rPr>
          <w:rFonts w:asciiTheme="majorHAnsi" w:eastAsia="Times New Roman" w:hAnsiTheme="majorHAnsi" w:cstheme="majorHAnsi"/>
          <w:bCs/>
        </w:rPr>
        <w:t xml:space="preserve"> od </w:t>
      </w:r>
      <w:r w:rsidRPr="00A57367">
        <w:rPr>
          <w:rFonts w:asciiTheme="majorHAnsi" w:eastAsia="Times New Roman" w:hAnsiTheme="majorHAnsi" w:cstheme="majorHAnsi"/>
        </w:rPr>
        <w:t xml:space="preserve">49.906.513,94 EUR </w:t>
      </w:r>
      <w:r w:rsidRPr="00502D26">
        <w:rPr>
          <w:rFonts w:ascii="Calibri Light" w:eastAsia="Times New Roman" w:hAnsi="Calibri Light" w:cs="Calibri Light"/>
          <w:color w:val="000000"/>
          <w:lang w:val="hr-HR" w:eastAsia="hr-HR"/>
        </w:rPr>
        <w:t xml:space="preserve">odnose se na: </w:t>
      </w:r>
      <w:r w:rsidRPr="002B6C17">
        <w:rPr>
          <w:rFonts w:asciiTheme="majorHAnsi" w:eastAsia="Times New Roman" w:hAnsiTheme="majorHAnsi" w:cstheme="majorHAnsi"/>
          <w:bCs/>
        </w:rPr>
        <w:t xml:space="preserve"> </w:t>
      </w:r>
    </w:p>
    <w:p w14:paraId="52352650" w14:textId="77777777" w:rsidR="003803BC" w:rsidRDefault="003803BC" w:rsidP="00CA0D8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5176F1C0" w14:textId="77777777" w:rsidR="003803BC" w:rsidRDefault="003803BC" w:rsidP="00CA0D8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960"/>
        <w:gridCol w:w="2080"/>
        <w:gridCol w:w="2060"/>
        <w:gridCol w:w="1700"/>
      </w:tblGrid>
      <w:tr w:rsidR="003803BC" w:rsidRPr="003803BC" w14:paraId="390E6E7D" w14:textId="77777777" w:rsidTr="003803BC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B3429" w14:textId="77777777" w:rsidR="003803BC" w:rsidRPr="003803BC" w:rsidRDefault="003803BC" w:rsidP="003803B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IZDACI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D2ED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2023.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9342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Ostvareno u 2024.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2178E" w14:textId="77777777" w:rsidR="003803BC" w:rsidRPr="003803BC" w:rsidRDefault="003803BC" w:rsidP="003803B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3803BC" w:rsidRPr="003803BC" w14:paraId="6634FF35" w14:textId="77777777" w:rsidTr="003803BC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8B52" w14:textId="77777777" w:rsidR="003803BC" w:rsidRPr="003803BC" w:rsidRDefault="003803BC" w:rsidP="003803B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Izdaci za financijsku imovinu i otplate zajmov (5)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C7CB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83.547.787,95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8C18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49.906.513,94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23ED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59,7</w:t>
            </w:r>
          </w:p>
        </w:tc>
      </w:tr>
      <w:tr w:rsidR="003803BC" w:rsidRPr="003803BC" w14:paraId="1F28CC54" w14:textId="77777777" w:rsidTr="003803BC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725E" w14:textId="77777777" w:rsidR="003803BC" w:rsidRPr="003803BC" w:rsidRDefault="003803BC" w:rsidP="003803B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Izdaci za dane zajmove i depozite (51)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3905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83.493.101,69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497D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49.850.562,41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FDA1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59,7</w:t>
            </w:r>
          </w:p>
        </w:tc>
      </w:tr>
      <w:tr w:rsidR="003803BC" w:rsidRPr="003803BC" w14:paraId="3306096F" w14:textId="77777777" w:rsidTr="003803BC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66E3" w14:textId="77777777" w:rsidR="003803BC" w:rsidRPr="003803BC" w:rsidRDefault="003803BC" w:rsidP="003803B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Izdaci za dionice i udjele u glavnici (53)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1CE4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54.686,26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5A2E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55.951,53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5A39" w14:textId="77777777" w:rsidR="003803BC" w:rsidRPr="003803BC" w:rsidRDefault="003803BC" w:rsidP="003803B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803B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102,3</w:t>
            </w:r>
          </w:p>
        </w:tc>
      </w:tr>
    </w:tbl>
    <w:p w14:paraId="7A5990E9" w14:textId="77777777" w:rsidR="003803BC" w:rsidRDefault="003803BC" w:rsidP="00CA0D8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505320C2" w14:textId="379F187D" w:rsidR="003803BC" w:rsidRDefault="003803BC" w:rsidP="003803B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  <w:proofErr w:type="spellStart"/>
      <w:r>
        <w:rPr>
          <w:rFonts w:asciiTheme="majorHAnsi" w:eastAsia="Times New Roman" w:hAnsiTheme="majorHAnsi" w:cstheme="majorHAnsi"/>
        </w:rPr>
        <w:t>I</w:t>
      </w:r>
      <w:r w:rsidRPr="00A57367">
        <w:rPr>
          <w:rFonts w:asciiTheme="majorHAnsi" w:eastAsia="Times New Roman" w:hAnsiTheme="majorHAnsi" w:cstheme="majorHAnsi"/>
        </w:rPr>
        <w:t>zdaci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</w:rPr>
        <w:t>dane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zajmove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depozite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(5</w:t>
      </w:r>
      <w:r>
        <w:rPr>
          <w:rFonts w:asciiTheme="majorHAnsi" w:eastAsia="Times New Roman" w:hAnsiTheme="majorHAnsi" w:cstheme="majorHAnsi"/>
        </w:rPr>
        <w:t>1</w:t>
      </w:r>
      <w:r w:rsidRPr="00A57367">
        <w:rPr>
          <w:rFonts w:asciiTheme="majorHAnsi" w:eastAsia="Times New Roman" w:hAnsiTheme="majorHAnsi" w:cstheme="majorHAnsi"/>
        </w:rPr>
        <w:t xml:space="preserve">) u </w:t>
      </w:r>
      <w:proofErr w:type="spellStart"/>
      <w:r w:rsidRPr="00A57367">
        <w:rPr>
          <w:rFonts w:asciiTheme="majorHAnsi" w:eastAsia="Times New Roman" w:hAnsiTheme="majorHAnsi" w:cstheme="majorHAnsi"/>
        </w:rPr>
        <w:t>odnosu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A57367">
        <w:rPr>
          <w:rFonts w:asciiTheme="majorHAnsi" w:eastAsia="Times New Roman" w:hAnsiTheme="majorHAnsi" w:cstheme="majorHAnsi"/>
        </w:rPr>
        <w:t>na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A57367">
        <w:rPr>
          <w:rFonts w:asciiTheme="majorHAnsi" w:eastAsia="Times New Roman" w:hAnsiTheme="majorHAnsi" w:cstheme="majorHAnsi"/>
        </w:rPr>
        <w:t>prethodnu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A57367">
        <w:rPr>
          <w:rFonts w:asciiTheme="majorHAnsi" w:eastAsia="Times New Roman" w:hAnsiTheme="majorHAnsi" w:cstheme="majorHAnsi"/>
        </w:rPr>
        <w:t>godinu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A57367">
        <w:rPr>
          <w:rFonts w:asciiTheme="majorHAnsi" w:eastAsia="Times New Roman" w:hAnsiTheme="majorHAnsi" w:cstheme="majorHAnsi"/>
        </w:rPr>
        <w:t>smanjeni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A57367">
        <w:rPr>
          <w:rFonts w:asciiTheme="majorHAnsi" w:eastAsia="Times New Roman" w:hAnsiTheme="majorHAnsi" w:cstheme="majorHAnsi"/>
        </w:rPr>
        <w:t>su</w:t>
      </w:r>
      <w:proofErr w:type="spellEnd"/>
      <w:r w:rsidRPr="00A57367">
        <w:rPr>
          <w:rFonts w:asciiTheme="majorHAnsi" w:eastAsia="Times New Roman" w:hAnsiTheme="majorHAnsi" w:cstheme="majorHAnsi"/>
        </w:rPr>
        <w:t xml:space="preserve"> za 40,3% </w:t>
      </w:r>
      <w:proofErr w:type="spellStart"/>
      <w:r w:rsidR="0022748B">
        <w:rPr>
          <w:rFonts w:asciiTheme="majorHAnsi" w:eastAsia="Times New Roman" w:hAnsiTheme="majorHAnsi" w:cstheme="majorHAnsi"/>
        </w:rPr>
        <w:t>zbog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završetka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prethodnog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financijskog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razdoblja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kao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manje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alokacije</w:t>
      </w:r>
      <w:proofErr w:type="spellEnd"/>
      <w:r>
        <w:rPr>
          <w:rFonts w:asciiTheme="majorHAnsi" w:eastAsia="Times New Roman" w:hAnsiTheme="majorHAnsi" w:cstheme="majorHAnsi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</w:rPr>
        <w:t>nove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zajmove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iz</w:t>
      </w:r>
      <w:proofErr w:type="spellEnd"/>
      <w:r>
        <w:rPr>
          <w:rFonts w:asciiTheme="majorHAnsi" w:eastAsia="Times New Roman" w:hAnsiTheme="majorHAnsi" w:cstheme="majorHAnsi"/>
        </w:rPr>
        <w:t xml:space="preserve"> EFRR </w:t>
      </w:r>
      <w:proofErr w:type="spellStart"/>
      <w:r>
        <w:rPr>
          <w:rFonts w:asciiTheme="majorHAnsi" w:eastAsia="Times New Roman" w:hAnsiTheme="majorHAnsi" w:cstheme="majorHAnsi"/>
        </w:rPr>
        <w:t>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programa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Ruralnog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razvoja</w:t>
      </w:r>
      <w:proofErr w:type="spellEnd"/>
      <w:r>
        <w:rPr>
          <w:rFonts w:asciiTheme="majorHAnsi" w:eastAsia="Times New Roman" w:hAnsiTheme="majorHAnsi" w:cstheme="majorHAnsi"/>
        </w:rPr>
        <w:t xml:space="preserve">. </w:t>
      </w:r>
    </w:p>
    <w:p w14:paraId="102CD43D" w14:textId="6B0CFA7B" w:rsidR="0022748B" w:rsidRPr="00A70B31" w:rsidRDefault="0022748B" w:rsidP="0022748B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3803BC">
        <w:rPr>
          <w:rFonts w:ascii="Calibri Light" w:eastAsia="Times New Roman" w:hAnsi="Calibri Light" w:cs="Calibri Light"/>
          <w:color w:val="000000"/>
          <w:sz w:val="20"/>
          <w:szCs w:val="20"/>
          <w:lang w:val="hr-HR" w:eastAsia="hr-HR"/>
        </w:rPr>
        <w:t xml:space="preserve">Izdaci za dionice i udjele u glavnici </w:t>
      </w:r>
      <w:r w:rsidRPr="00A70B31">
        <w:rPr>
          <w:rFonts w:asciiTheme="majorHAnsi" w:hAnsiTheme="majorHAnsi" w:cstheme="majorHAnsi"/>
          <w:lang w:val="hr-HR"/>
        </w:rPr>
        <w:t xml:space="preserve">(53) </w:t>
      </w:r>
      <w:r>
        <w:rPr>
          <w:rFonts w:asciiTheme="majorHAnsi" w:hAnsiTheme="majorHAnsi" w:cstheme="majorHAnsi"/>
          <w:lang w:val="hr-HR"/>
        </w:rPr>
        <w:t>povećani</w:t>
      </w:r>
      <w:r w:rsidRPr="00A70B31">
        <w:rPr>
          <w:rFonts w:asciiTheme="majorHAnsi" w:hAnsiTheme="majorHAnsi" w:cstheme="majorHAnsi"/>
          <w:lang w:val="hr-HR"/>
        </w:rPr>
        <w:t xml:space="preserve"> su </w:t>
      </w:r>
      <w:r>
        <w:rPr>
          <w:rFonts w:asciiTheme="majorHAnsi" w:hAnsiTheme="majorHAnsi" w:cstheme="majorHAnsi"/>
          <w:lang w:val="hr-HR"/>
        </w:rPr>
        <w:t>neznatno u</w:t>
      </w:r>
      <w:r w:rsidRPr="00A70B31">
        <w:rPr>
          <w:rFonts w:asciiTheme="majorHAnsi" w:hAnsiTheme="majorHAnsi" w:cstheme="majorHAnsi"/>
          <w:lang w:val="hr-HR"/>
        </w:rPr>
        <w:t xml:space="preserve"> odnosu na prethodnu godinu za </w:t>
      </w:r>
      <w:r>
        <w:rPr>
          <w:rFonts w:asciiTheme="majorHAnsi" w:hAnsiTheme="majorHAnsi" w:cstheme="majorHAnsi"/>
          <w:lang w:val="hr-HR"/>
        </w:rPr>
        <w:t>2,3</w:t>
      </w:r>
      <w:r w:rsidRPr="00A70B31">
        <w:rPr>
          <w:rFonts w:asciiTheme="majorHAnsi" w:hAnsiTheme="majorHAnsi" w:cstheme="majorHAnsi"/>
          <w:lang w:val="hr-HR"/>
        </w:rPr>
        <w:t xml:space="preserve"> % uslijed </w:t>
      </w:r>
      <w:r>
        <w:rPr>
          <w:rFonts w:asciiTheme="majorHAnsi" w:hAnsiTheme="majorHAnsi" w:cstheme="majorHAnsi"/>
          <w:lang w:val="hr-HR"/>
        </w:rPr>
        <w:t>većeg</w:t>
      </w:r>
      <w:r w:rsidRPr="00A70B31">
        <w:rPr>
          <w:rFonts w:asciiTheme="majorHAnsi" w:hAnsiTheme="majorHAnsi" w:cstheme="majorHAnsi"/>
          <w:lang w:val="hr-HR"/>
        </w:rPr>
        <w:t xml:space="preserve"> intenziteta ulaganja u ENIF (venture capital fond osnovan na inicijativu Europske komisije, Europskog investicijskog fonda (EIF) i Europsku banke za obnovu i razvoj EBRD</w:t>
      </w:r>
      <w:r>
        <w:rPr>
          <w:rFonts w:asciiTheme="majorHAnsi" w:hAnsiTheme="majorHAnsi" w:cstheme="majorHAnsi"/>
          <w:lang w:val="hr-HR"/>
        </w:rPr>
        <w:t>)</w:t>
      </w:r>
      <w:r w:rsidRPr="00A70B31">
        <w:rPr>
          <w:rFonts w:asciiTheme="majorHAnsi" w:hAnsiTheme="majorHAnsi" w:cstheme="majorHAnsi"/>
          <w:lang w:val="hr-HR"/>
        </w:rPr>
        <w:t>. Fondom upravlja vanjsko društvo (SCV Ventures) što otežava precizno predviđanje ulaganja u jednoj godini. Naime, ulaganja ovise o pregovorima između Fonda i start-upova koja se znaju odužiti te tako prijeći u sljedeću godinu ili se ista realiziraju kroz duži period u tranšama.</w:t>
      </w:r>
    </w:p>
    <w:p w14:paraId="749D4453" w14:textId="77777777" w:rsidR="003803BC" w:rsidRPr="00A57367" w:rsidRDefault="003803BC" w:rsidP="00CA0D8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6E5D02AD" w14:textId="77777777" w:rsidR="00092C86" w:rsidRPr="00A57367" w:rsidRDefault="00092C86" w:rsidP="00CA0D8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ajorHAnsi"/>
        </w:rPr>
      </w:pPr>
    </w:p>
    <w:p w14:paraId="403772F2" w14:textId="56BB416A" w:rsidR="00342238" w:rsidRDefault="00986A07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9B1265">
        <w:rPr>
          <w:rFonts w:asciiTheme="majorHAnsi" w:hAnsiTheme="majorHAnsi" w:cstheme="majorHAnsi"/>
          <w:lang w:val="hr-HR"/>
        </w:rPr>
        <w:t>Ukupni prihodi i primici (X678) u 202</w:t>
      </w:r>
      <w:r w:rsidR="0039543F" w:rsidRPr="009B1265">
        <w:rPr>
          <w:rFonts w:asciiTheme="majorHAnsi" w:hAnsiTheme="majorHAnsi" w:cstheme="majorHAnsi"/>
          <w:lang w:val="hr-HR"/>
        </w:rPr>
        <w:t>4</w:t>
      </w:r>
      <w:r w:rsidRPr="009B1265">
        <w:rPr>
          <w:rFonts w:asciiTheme="majorHAnsi" w:hAnsiTheme="majorHAnsi" w:cstheme="majorHAnsi"/>
          <w:lang w:val="hr-HR"/>
        </w:rPr>
        <w:t xml:space="preserve">. iznose </w:t>
      </w:r>
      <w:r w:rsidR="00A97961" w:rsidRPr="009B1265">
        <w:rPr>
          <w:rFonts w:asciiTheme="majorHAnsi" w:hAnsiTheme="majorHAnsi" w:cstheme="majorHAnsi"/>
          <w:lang w:val="hr-HR"/>
        </w:rPr>
        <w:t>170.391.321,46</w:t>
      </w:r>
      <w:r w:rsidR="00A70B31" w:rsidRPr="009B1265">
        <w:rPr>
          <w:rFonts w:asciiTheme="majorHAnsi" w:hAnsiTheme="majorHAnsi" w:cstheme="majorHAnsi"/>
          <w:lang w:val="hr-HR"/>
        </w:rPr>
        <w:t xml:space="preserve"> EUR</w:t>
      </w:r>
      <w:r w:rsidR="003729F0" w:rsidRPr="009B1265">
        <w:rPr>
          <w:rFonts w:asciiTheme="majorHAnsi" w:hAnsiTheme="majorHAnsi" w:cstheme="majorHAnsi"/>
          <w:lang w:val="hr-HR"/>
        </w:rPr>
        <w:t xml:space="preserve">, dok </w:t>
      </w:r>
      <w:r w:rsidRPr="009B1265">
        <w:rPr>
          <w:rFonts w:asciiTheme="majorHAnsi" w:hAnsiTheme="majorHAnsi" w:cstheme="majorHAnsi"/>
          <w:lang w:val="hr-HR"/>
        </w:rPr>
        <w:t xml:space="preserve">rashodi i izdaci (Y345) iznose </w:t>
      </w:r>
      <w:r w:rsidR="00A97961" w:rsidRPr="009B1265">
        <w:rPr>
          <w:rFonts w:asciiTheme="majorHAnsi" w:hAnsiTheme="majorHAnsi" w:cstheme="majorHAnsi"/>
          <w:lang w:val="hr-HR"/>
        </w:rPr>
        <w:t>7</w:t>
      </w:r>
      <w:r w:rsidR="00A70B31" w:rsidRPr="009B1265">
        <w:rPr>
          <w:rFonts w:asciiTheme="majorHAnsi" w:hAnsiTheme="majorHAnsi" w:cstheme="majorHAnsi"/>
          <w:lang w:val="hr-HR"/>
        </w:rPr>
        <w:t>1.</w:t>
      </w:r>
      <w:r w:rsidR="00A97961" w:rsidRPr="009B1265">
        <w:rPr>
          <w:rFonts w:asciiTheme="majorHAnsi" w:hAnsiTheme="majorHAnsi" w:cstheme="majorHAnsi"/>
          <w:lang w:val="hr-HR"/>
        </w:rPr>
        <w:t>347.455,91</w:t>
      </w:r>
      <w:r w:rsidR="00A70B31" w:rsidRPr="009B1265">
        <w:rPr>
          <w:rFonts w:asciiTheme="majorHAnsi" w:hAnsiTheme="majorHAnsi" w:cstheme="majorHAnsi"/>
          <w:lang w:val="hr-HR"/>
        </w:rPr>
        <w:t xml:space="preserve"> EUR</w:t>
      </w:r>
      <w:r w:rsidRPr="009B1265">
        <w:rPr>
          <w:rFonts w:asciiTheme="majorHAnsi" w:hAnsiTheme="majorHAnsi" w:cstheme="majorHAnsi"/>
          <w:lang w:val="hr-HR"/>
        </w:rPr>
        <w:t>.</w:t>
      </w:r>
      <w:r w:rsidR="00342238" w:rsidRPr="009B1265">
        <w:rPr>
          <w:rFonts w:asciiTheme="majorHAnsi" w:hAnsiTheme="majorHAnsi" w:cstheme="majorHAnsi"/>
          <w:lang w:val="hr-HR"/>
        </w:rPr>
        <w:t xml:space="preserve"> Tijekom 202</w:t>
      </w:r>
      <w:r w:rsidR="0039543F" w:rsidRPr="009B1265">
        <w:rPr>
          <w:rFonts w:asciiTheme="majorHAnsi" w:hAnsiTheme="majorHAnsi" w:cstheme="majorHAnsi"/>
          <w:lang w:val="hr-HR"/>
        </w:rPr>
        <w:t>4</w:t>
      </w:r>
      <w:r w:rsidR="00342238" w:rsidRPr="009B1265">
        <w:rPr>
          <w:rFonts w:asciiTheme="majorHAnsi" w:hAnsiTheme="majorHAnsi" w:cstheme="majorHAnsi"/>
          <w:lang w:val="hr-HR"/>
        </w:rPr>
        <w:t>. godine ostvaren</w:t>
      </w:r>
      <w:r w:rsidR="00D67E4A" w:rsidRPr="009B1265">
        <w:rPr>
          <w:rFonts w:asciiTheme="majorHAnsi" w:hAnsiTheme="majorHAnsi" w:cstheme="majorHAnsi"/>
          <w:lang w:val="hr-HR"/>
        </w:rPr>
        <w:t xml:space="preserve"> je</w:t>
      </w:r>
      <w:r w:rsidR="00342238" w:rsidRPr="009B1265">
        <w:rPr>
          <w:rFonts w:asciiTheme="majorHAnsi" w:hAnsiTheme="majorHAnsi" w:cstheme="majorHAnsi"/>
          <w:lang w:val="hr-HR"/>
        </w:rPr>
        <w:t xml:space="preserve"> višak prihoda i primitaka (X005)</w:t>
      </w:r>
      <w:r w:rsidR="00D67E4A" w:rsidRPr="009B1265">
        <w:rPr>
          <w:rFonts w:asciiTheme="majorHAnsi" w:hAnsiTheme="majorHAnsi" w:cstheme="majorHAnsi"/>
          <w:lang w:val="hr-HR"/>
        </w:rPr>
        <w:t xml:space="preserve"> i</w:t>
      </w:r>
      <w:r w:rsidR="00342238" w:rsidRPr="009B1265">
        <w:rPr>
          <w:rFonts w:asciiTheme="majorHAnsi" w:hAnsiTheme="majorHAnsi" w:cstheme="majorHAnsi"/>
          <w:lang w:val="hr-HR"/>
        </w:rPr>
        <w:t xml:space="preserve"> iznosi 9</w:t>
      </w:r>
      <w:r w:rsidR="00A97961" w:rsidRPr="009B1265">
        <w:rPr>
          <w:rFonts w:asciiTheme="majorHAnsi" w:hAnsiTheme="majorHAnsi" w:cstheme="majorHAnsi"/>
          <w:lang w:val="hr-HR"/>
        </w:rPr>
        <w:t>9</w:t>
      </w:r>
      <w:r w:rsidR="00342238" w:rsidRPr="009B1265">
        <w:rPr>
          <w:rFonts w:asciiTheme="majorHAnsi" w:hAnsiTheme="majorHAnsi" w:cstheme="majorHAnsi"/>
          <w:lang w:val="hr-HR"/>
        </w:rPr>
        <w:t>.0</w:t>
      </w:r>
      <w:r w:rsidR="00A97961" w:rsidRPr="009B1265">
        <w:rPr>
          <w:rFonts w:asciiTheme="majorHAnsi" w:hAnsiTheme="majorHAnsi" w:cstheme="majorHAnsi"/>
          <w:lang w:val="hr-HR"/>
        </w:rPr>
        <w:t>43</w:t>
      </w:r>
      <w:r w:rsidR="00342238" w:rsidRPr="009B1265">
        <w:rPr>
          <w:rFonts w:asciiTheme="majorHAnsi" w:hAnsiTheme="majorHAnsi" w:cstheme="majorHAnsi"/>
          <w:lang w:val="hr-HR"/>
        </w:rPr>
        <w:t>.</w:t>
      </w:r>
      <w:r w:rsidR="00A97961" w:rsidRPr="009B1265">
        <w:rPr>
          <w:rFonts w:asciiTheme="majorHAnsi" w:hAnsiTheme="majorHAnsi" w:cstheme="majorHAnsi"/>
          <w:lang w:val="hr-HR"/>
        </w:rPr>
        <w:t>865,55</w:t>
      </w:r>
      <w:r w:rsidR="00342238" w:rsidRPr="009B1265">
        <w:rPr>
          <w:rFonts w:asciiTheme="majorHAnsi" w:hAnsiTheme="majorHAnsi" w:cstheme="majorHAnsi"/>
          <w:lang w:val="hr-HR"/>
        </w:rPr>
        <w:t xml:space="preserve"> EUR</w:t>
      </w:r>
      <w:r w:rsidR="00342238" w:rsidRPr="006D25BB">
        <w:rPr>
          <w:rFonts w:asciiTheme="majorHAnsi" w:hAnsiTheme="majorHAnsi" w:cstheme="majorHAnsi"/>
          <w:lang w:val="hr-HR"/>
        </w:rPr>
        <w:t>.</w:t>
      </w:r>
      <w:r w:rsidR="009B1265" w:rsidRPr="006D25BB">
        <w:rPr>
          <w:rFonts w:asciiTheme="majorHAnsi" w:hAnsiTheme="majorHAnsi" w:cstheme="majorHAnsi"/>
          <w:lang w:val="hr-HR"/>
        </w:rPr>
        <w:t xml:space="preserve"> </w:t>
      </w:r>
      <w:r w:rsidR="0079175E" w:rsidRPr="006D25BB">
        <w:rPr>
          <w:rFonts w:asciiTheme="majorHAnsi" w:hAnsiTheme="majorHAnsi" w:cstheme="majorHAnsi"/>
          <w:lang w:val="hr-HR"/>
        </w:rPr>
        <w:t xml:space="preserve">Najveći dio viška </w:t>
      </w:r>
      <w:r w:rsidR="009B1265" w:rsidRPr="006D25BB">
        <w:rPr>
          <w:rFonts w:asciiTheme="majorHAnsi" w:hAnsiTheme="majorHAnsi" w:cstheme="majorHAnsi"/>
          <w:lang w:val="hr-HR"/>
        </w:rPr>
        <w:t xml:space="preserve"> </w:t>
      </w:r>
      <w:r w:rsidR="0079175E" w:rsidRPr="006D25BB">
        <w:rPr>
          <w:rFonts w:asciiTheme="majorHAnsi" w:hAnsiTheme="majorHAnsi" w:cstheme="majorHAnsi"/>
          <w:lang w:val="hr-HR"/>
        </w:rPr>
        <w:t>se odnosi na povrat sredstava od zajmova.</w:t>
      </w:r>
    </w:p>
    <w:p w14:paraId="4E7FEAE6" w14:textId="77777777" w:rsidR="009B1265" w:rsidRPr="009B1265" w:rsidRDefault="009B1265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14:paraId="49715968" w14:textId="56177AC3" w:rsidR="009B1265" w:rsidRDefault="009B1265" w:rsidP="009B1265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Preneseni višak prihoda i primitaka raspoloživ u sljedećem razdoblju (X006) iz 202</w:t>
      </w:r>
      <w:r w:rsidR="0079175E">
        <w:rPr>
          <w:rFonts w:asciiTheme="majorHAnsi" w:hAnsiTheme="majorHAnsi" w:cstheme="majorHAnsi"/>
          <w:lang w:val="hr-HR"/>
        </w:rPr>
        <w:t>3</w:t>
      </w:r>
      <w:r>
        <w:rPr>
          <w:rFonts w:asciiTheme="majorHAnsi" w:hAnsiTheme="majorHAnsi" w:cstheme="majorHAnsi"/>
          <w:lang w:val="hr-HR"/>
        </w:rPr>
        <w:t xml:space="preserve">. godine iznosi </w:t>
      </w:r>
      <w:r w:rsidR="0079175E">
        <w:rPr>
          <w:rFonts w:asciiTheme="majorHAnsi" w:hAnsiTheme="majorHAnsi" w:cstheme="majorHAnsi"/>
          <w:lang w:val="hr-HR"/>
        </w:rPr>
        <w:t>205.678.897,89</w:t>
      </w:r>
      <w:r>
        <w:rPr>
          <w:rFonts w:asciiTheme="majorHAnsi" w:hAnsiTheme="majorHAnsi" w:cstheme="majorHAnsi"/>
          <w:lang w:val="hr-HR"/>
        </w:rPr>
        <w:t xml:space="preserve"> EUR te je isti korigiran za ispravak rezultata </w:t>
      </w:r>
      <w:r w:rsidR="0079175E">
        <w:rPr>
          <w:rFonts w:asciiTheme="majorHAnsi" w:hAnsiTheme="majorHAnsi" w:cstheme="majorHAnsi"/>
          <w:lang w:val="hr-HR"/>
        </w:rPr>
        <w:t xml:space="preserve">oročenih sredstava </w:t>
      </w:r>
      <w:r w:rsidR="00903A50">
        <w:rPr>
          <w:rFonts w:asciiTheme="majorHAnsi" w:hAnsiTheme="majorHAnsi" w:cstheme="majorHAnsi"/>
          <w:lang w:val="hr-HR"/>
        </w:rPr>
        <w:t>iz ranijih godina za koje nije prikazan prihod</w:t>
      </w:r>
      <w:r>
        <w:rPr>
          <w:rFonts w:asciiTheme="majorHAnsi" w:hAnsiTheme="majorHAnsi" w:cstheme="majorHAnsi"/>
          <w:lang w:val="hr-HR"/>
        </w:rPr>
        <w:t xml:space="preserve">. U 2023. godini višak prihoda i primitaka (9222-9221) iznosi </w:t>
      </w:r>
      <w:r w:rsidR="00903A50">
        <w:rPr>
          <w:rFonts w:asciiTheme="majorHAnsi" w:hAnsiTheme="majorHAnsi" w:cstheme="majorHAnsi"/>
          <w:lang w:val="hr-HR"/>
        </w:rPr>
        <w:t xml:space="preserve">218.405.164,67 </w:t>
      </w:r>
      <w:r>
        <w:rPr>
          <w:rFonts w:asciiTheme="majorHAnsi" w:hAnsiTheme="majorHAnsi" w:cstheme="majorHAnsi"/>
          <w:lang w:val="hr-HR"/>
        </w:rPr>
        <w:t>EUR te u</w:t>
      </w:r>
      <w:r w:rsidRPr="00A70B31">
        <w:rPr>
          <w:rFonts w:asciiTheme="majorHAnsi" w:hAnsiTheme="majorHAnsi" w:cstheme="majorHAnsi"/>
          <w:lang w:val="hr-HR"/>
        </w:rPr>
        <w:t xml:space="preserve">kupan višak prihoda i primitaka raspoloživ u sljedećem razdoblju </w:t>
      </w:r>
      <w:r w:rsidR="00903A50" w:rsidRPr="00903A50">
        <w:rPr>
          <w:rFonts w:asciiTheme="majorHAnsi" w:hAnsiTheme="majorHAnsi" w:cstheme="majorHAnsi"/>
          <w:lang w:val="hr-HR"/>
        </w:rPr>
        <w:t>(X006) iznosi 317.449.030,22 EUR</w:t>
      </w:r>
      <w:r w:rsidR="000A2AD3">
        <w:rPr>
          <w:rFonts w:asciiTheme="majorHAnsi" w:hAnsiTheme="majorHAnsi" w:cstheme="majorHAnsi"/>
          <w:lang w:val="hr-HR"/>
        </w:rPr>
        <w:t xml:space="preserve"> koji će se sukladno </w:t>
      </w:r>
      <w:r w:rsidR="000A2AD3" w:rsidRPr="000A2AD3">
        <w:rPr>
          <w:rFonts w:asciiTheme="majorHAnsi" w:hAnsiTheme="majorHAnsi" w:cstheme="majorHAnsi"/>
          <w:lang w:val="hr-HR"/>
        </w:rPr>
        <w:t xml:space="preserve">Sporazumu o financiranju </w:t>
      </w:r>
      <w:r w:rsidR="000A2AD3">
        <w:rPr>
          <w:rFonts w:asciiTheme="majorHAnsi" w:hAnsiTheme="majorHAnsi" w:cstheme="majorHAnsi"/>
          <w:lang w:val="hr-HR"/>
        </w:rPr>
        <w:t>najvećim dijelom koristiti za plasman novih zajmova i jamstava.</w:t>
      </w:r>
    </w:p>
    <w:p w14:paraId="19DD1755" w14:textId="77777777" w:rsidR="00903A50" w:rsidRDefault="00903A50" w:rsidP="009B1265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14:paraId="6E2515B9" w14:textId="77777777" w:rsidR="00903A50" w:rsidRPr="00D131C9" w:rsidRDefault="00903A50" w:rsidP="009B1265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14:paraId="4CDE6438" w14:textId="77777777" w:rsidR="00AC4696" w:rsidRDefault="00AC4696" w:rsidP="00CA0D8C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hr-HR"/>
        </w:rPr>
      </w:pPr>
    </w:p>
    <w:p w14:paraId="05A01AD8" w14:textId="6DA17AF4" w:rsidR="00092C86" w:rsidRDefault="00092C86">
      <w:pPr>
        <w:rPr>
          <w:rFonts w:asciiTheme="minorHAnsi" w:eastAsia="Times New Roman" w:hAnsiTheme="minorHAnsi" w:cstheme="minorHAnsi"/>
          <w:color w:val="FF0000"/>
          <w:lang w:val="hr-HR"/>
        </w:rPr>
      </w:pPr>
      <w:r>
        <w:rPr>
          <w:rFonts w:asciiTheme="minorHAnsi" w:eastAsia="Times New Roman" w:hAnsiTheme="minorHAnsi" w:cstheme="minorHAnsi"/>
          <w:color w:val="FF0000"/>
          <w:lang w:val="hr-HR"/>
        </w:rPr>
        <w:br w:type="page"/>
      </w:r>
    </w:p>
    <w:p w14:paraId="66F6DE7F" w14:textId="77777777" w:rsidR="00092C86" w:rsidRPr="00222773" w:rsidRDefault="00092C86" w:rsidP="00CA0D8C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val="hr-HR"/>
        </w:rPr>
      </w:pPr>
    </w:p>
    <w:p w14:paraId="07E1D66B" w14:textId="77777777" w:rsidR="00AC4696" w:rsidRPr="00EA6586" w:rsidRDefault="00AC4696" w:rsidP="00CA0D8C">
      <w:pPr>
        <w:pStyle w:val="Default"/>
        <w:shd w:val="clear" w:color="auto" w:fill="FFFFFF"/>
        <w:spacing w:line="276" w:lineRule="auto"/>
        <w:jc w:val="both"/>
        <w:rPr>
          <w:b/>
          <w:noProof/>
          <w:color w:val="FF0000"/>
          <w:sz w:val="22"/>
          <w:szCs w:val="22"/>
        </w:rPr>
      </w:pPr>
    </w:p>
    <w:p w14:paraId="2A790FDA" w14:textId="61F46AB8" w:rsidR="00CC0A56" w:rsidRPr="002E1BA5" w:rsidRDefault="00CC0A56" w:rsidP="00CA0D8C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  <w:u w:val="single"/>
        </w:rPr>
      </w:pPr>
      <w:r w:rsidRPr="002E1BA5">
        <w:rPr>
          <w:rFonts w:asciiTheme="majorHAnsi" w:hAnsiTheme="majorHAnsi" w:cstheme="majorHAnsi"/>
          <w:b/>
          <w:noProof/>
          <w:color w:val="auto"/>
          <w:sz w:val="22"/>
          <w:szCs w:val="22"/>
          <w:u w:val="single"/>
        </w:rPr>
        <w:t xml:space="preserve">Bilješke uz </w:t>
      </w:r>
      <w:r w:rsidR="00EA0F23" w:rsidRPr="002E1BA5">
        <w:rPr>
          <w:rFonts w:asciiTheme="majorHAnsi" w:hAnsiTheme="majorHAnsi" w:cstheme="majorHAnsi"/>
          <w:b/>
          <w:noProof/>
          <w:color w:val="auto"/>
          <w:sz w:val="22"/>
          <w:szCs w:val="22"/>
          <w:u w:val="single"/>
        </w:rPr>
        <w:t>B</w:t>
      </w:r>
      <w:r w:rsidRPr="002E1BA5">
        <w:rPr>
          <w:rFonts w:asciiTheme="majorHAnsi" w:hAnsiTheme="majorHAnsi" w:cstheme="majorHAnsi"/>
          <w:b/>
          <w:noProof/>
          <w:color w:val="auto"/>
          <w:sz w:val="22"/>
          <w:szCs w:val="22"/>
          <w:u w:val="single"/>
        </w:rPr>
        <w:t>ilancu</w:t>
      </w:r>
    </w:p>
    <w:p w14:paraId="12D97D86" w14:textId="209B5F61" w:rsidR="005E4123" w:rsidRDefault="007E67FA" w:rsidP="00CA0D8C">
      <w:pPr>
        <w:pStyle w:val="Default"/>
        <w:shd w:val="clear" w:color="auto" w:fill="FFFFFF"/>
        <w:spacing w:line="276" w:lineRule="auto"/>
        <w:jc w:val="both"/>
        <w:rPr>
          <w:rFonts w:eastAsia="Calibri" w:cs="Times New Roman"/>
          <w:color w:val="auto"/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8E0A59">
        <w:rPr>
          <w:noProof/>
        </w:rPr>
        <w:instrText xml:space="preserve">Excel.Sheet.12 "\\\\solomon\\ZAJEDNICKO\\Računovodstvo\\2. FINANCIJSKI IZVJESTAJI\\2024 financijski izvještaji\\Q4\\Tablice uz bilješke 2024.xlsx" Sheet1!R25C1:R40C4 </w:instrText>
      </w:r>
      <w:r>
        <w:rPr>
          <w:noProof/>
        </w:rPr>
        <w:instrText xml:space="preserve">\a \f 4 \h </w:instrText>
      </w:r>
      <w:r w:rsidR="00AC2ECE">
        <w:rPr>
          <w:noProof/>
        </w:rPr>
        <w:instrText xml:space="preserve"> \* MERGEFORMAT </w:instrText>
      </w:r>
      <w:r>
        <w:rPr>
          <w:noProof/>
        </w:rPr>
        <w:fldChar w:fldCharType="separate"/>
      </w:r>
    </w:p>
    <w:p w14:paraId="0A740927" w14:textId="77777777" w:rsidR="009128DC" w:rsidRDefault="007E67FA" w:rsidP="00CA0D8C">
      <w:pPr>
        <w:pStyle w:val="Default"/>
        <w:shd w:val="clear" w:color="auto" w:fill="FFFFFF"/>
        <w:spacing w:line="276" w:lineRule="auto"/>
        <w:jc w:val="both"/>
        <w:rPr>
          <w:b/>
          <w:noProof/>
          <w:color w:val="auto"/>
          <w:sz w:val="22"/>
          <w:szCs w:val="22"/>
          <w:u w:val="single"/>
        </w:rPr>
      </w:pPr>
      <w:r>
        <w:rPr>
          <w:b/>
          <w:noProof/>
          <w:color w:val="auto"/>
          <w:sz w:val="22"/>
          <w:szCs w:val="22"/>
          <w:u w:val="single"/>
        </w:rPr>
        <w:fldChar w:fldCharType="end"/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952"/>
        <w:gridCol w:w="1842"/>
        <w:gridCol w:w="1701"/>
        <w:gridCol w:w="851"/>
      </w:tblGrid>
      <w:tr w:rsidR="009128DC" w:rsidRPr="009128DC" w14:paraId="580A4CB6" w14:textId="77777777" w:rsidTr="009128DC">
        <w:trPr>
          <w:trHeight w:val="30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C1E3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BILANCA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D517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Stanje 01.01.2024.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B2F7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Stanje 31.12.2024.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7EE0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9128DC" w:rsidRPr="009128DC" w14:paraId="1D2D8254" w14:textId="77777777" w:rsidTr="009128DC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CD58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IMOVINA (B001)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59AC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650.161.318,09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F7DF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705.023.657,64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FE6E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108,4</w:t>
            </w:r>
          </w:p>
        </w:tc>
      </w:tr>
      <w:tr w:rsidR="009128DC" w:rsidRPr="009128DC" w14:paraId="17CB4B7E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851D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Nefinancijska imovina (B002)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9702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9.352.386,15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5E9BD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9.250.566,72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D27A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98,9</w:t>
            </w:r>
          </w:p>
        </w:tc>
      </w:tr>
      <w:tr w:rsidR="009128DC" w:rsidRPr="009128DC" w14:paraId="5517A9A5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EAF3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Neproizvedena dugotrajna imovina (01)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65BC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71.571,73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8C812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33.894,85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2E2A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47,4</w:t>
            </w:r>
          </w:p>
        </w:tc>
      </w:tr>
      <w:tr w:rsidR="009128DC" w:rsidRPr="009128DC" w14:paraId="45B1A8E6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3F51D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Proizvedena dugotrajna imovina (02)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08AA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9.280.814,42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4543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9.216.671,87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FD92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99,3</w:t>
            </w:r>
          </w:p>
        </w:tc>
      </w:tr>
      <w:tr w:rsidR="009128DC" w:rsidRPr="009128DC" w14:paraId="4DDB6B30" w14:textId="77777777" w:rsidTr="009128DC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57BF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Financijska imovina (1)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0C36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640.808.931,94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3494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695.773.090,92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FE1D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108,6</w:t>
            </w:r>
          </w:p>
        </w:tc>
      </w:tr>
      <w:tr w:rsidR="009128DC" w:rsidRPr="009128DC" w14:paraId="7729503C" w14:textId="77777777" w:rsidTr="009128DC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E34E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Novac u banci (11)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237E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248.908.720,87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71DD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351.201.543,66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F0400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141,1</w:t>
            </w:r>
          </w:p>
        </w:tc>
      </w:tr>
      <w:tr w:rsidR="009128DC" w:rsidRPr="009128DC" w14:paraId="164BA634" w14:textId="77777777" w:rsidTr="009128DC">
        <w:trPr>
          <w:trHeight w:val="1116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FEA5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Depoziti, jamčevni depoziti i potraživanja od zaposlenih te za više plaćene poreze i ostalo (12)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A255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207.379,05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7F08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163.275,62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1BF8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78,7</w:t>
            </w:r>
          </w:p>
        </w:tc>
      </w:tr>
      <w:tr w:rsidR="009128DC" w:rsidRPr="009128DC" w14:paraId="676DB91F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3D9B3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Potraživanja za dane zajmove (13)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ACCD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358.592.708,44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0937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306.124.450,11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36D88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85,4</w:t>
            </w:r>
          </w:p>
        </w:tc>
      </w:tr>
      <w:tr w:rsidR="009128DC" w:rsidRPr="009128DC" w14:paraId="15658517" w14:textId="77777777" w:rsidTr="009128DC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B55F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Dionice i udjeli u glavnici (15)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F8EB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1.384.762,31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2F81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1.427.492,89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436C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103,1</w:t>
            </w:r>
          </w:p>
        </w:tc>
      </w:tr>
      <w:tr w:rsidR="009128DC" w:rsidRPr="009128DC" w14:paraId="7AA3CDBE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8AC2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Potraživanja za prihode poslovanja (16)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38A6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30.786.801,12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2207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35.827.687,34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4BB3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116,4</w:t>
            </w:r>
          </w:p>
        </w:tc>
      </w:tr>
      <w:tr w:rsidR="009128DC" w:rsidRPr="009128DC" w14:paraId="2CBA31A2" w14:textId="77777777" w:rsidTr="009128DC">
        <w:trPr>
          <w:trHeight w:val="84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E94F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Rashodi budućih razdoblja i nedospjela naplata prihoda (19)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7336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928.560,15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ADAA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1.028.641,30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44CD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110,8</w:t>
            </w:r>
          </w:p>
        </w:tc>
      </w:tr>
      <w:tr w:rsidR="009128DC" w:rsidRPr="009128DC" w14:paraId="0BD814C9" w14:textId="77777777" w:rsidTr="009128DC">
        <w:trPr>
          <w:trHeight w:val="5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E06D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OBVEZE I VLASTITI IZVORI (B003)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A7DE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650.161.318,09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A346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705.023.657,64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9409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108,4</w:t>
            </w:r>
          </w:p>
        </w:tc>
      </w:tr>
      <w:tr w:rsidR="009128DC" w:rsidRPr="009128DC" w14:paraId="6B4232C4" w14:textId="77777777" w:rsidTr="009128DC">
        <w:trPr>
          <w:trHeight w:val="5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0BA1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Obveze (2)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0A90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524.343.579,79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FF84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560.934.693,47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568E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107,0</w:t>
            </w:r>
          </w:p>
        </w:tc>
      </w:tr>
      <w:tr w:rsidR="009128DC" w:rsidRPr="009128DC" w14:paraId="5AB51320" w14:textId="77777777" w:rsidTr="009128DC">
        <w:trPr>
          <w:trHeight w:val="5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7759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Vlastiti izvori (9)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82B3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125.817.738,30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7E00C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144.088.964,17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1018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hr-HR" w:eastAsia="hr-HR"/>
              </w:rPr>
              <w:t>114,5</w:t>
            </w:r>
          </w:p>
        </w:tc>
      </w:tr>
      <w:tr w:rsidR="009128DC" w:rsidRPr="009128DC" w14:paraId="749E4E8B" w14:textId="77777777" w:rsidTr="009128DC">
        <w:trPr>
          <w:trHeight w:val="56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AB7C" w14:textId="77777777" w:rsidR="009128DC" w:rsidRPr="009128DC" w:rsidRDefault="009128DC" w:rsidP="009128DC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Izvanbilančni zapisi -aktiva (991)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9BC0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1.646.756.571,71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D737" w14:textId="77777777" w:rsidR="009128DC" w:rsidRPr="0091429F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  <w:lang w:val="hr-HR" w:eastAsia="hr-HR"/>
              </w:rPr>
            </w:pPr>
            <w:r w:rsidRPr="00400E5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1.605.215.503,14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10E0" w14:textId="77777777" w:rsidR="009128DC" w:rsidRPr="009128DC" w:rsidRDefault="009128DC" w:rsidP="009128DC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</w:pPr>
            <w:r w:rsidRPr="009128D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hr-HR" w:eastAsia="hr-HR"/>
              </w:rPr>
              <w:t>97,5</w:t>
            </w:r>
          </w:p>
        </w:tc>
      </w:tr>
    </w:tbl>
    <w:p w14:paraId="7D4E8F40" w14:textId="4C9BA775" w:rsidR="00CC0A56" w:rsidRDefault="00CC0A56" w:rsidP="00CA0D8C">
      <w:pPr>
        <w:pStyle w:val="Default"/>
        <w:shd w:val="clear" w:color="auto" w:fill="FFFFFF"/>
        <w:spacing w:line="276" w:lineRule="auto"/>
        <w:jc w:val="both"/>
        <w:rPr>
          <w:b/>
          <w:noProof/>
          <w:color w:val="auto"/>
          <w:sz w:val="22"/>
          <w:szCs w:val="22"/>
          <w:u w:val="single"/>
        </w:rPr>
      </w:pPr>
    </w:p>
    <w:p w14:paraId="786A1C63" w14:textId="4AA4C926" w:rsidR="00323DB8" w:rsidRPr="00D67E4A" w:rsidRDefault="00323DB8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D67E4A">
        <w:rPr>
          <w:rFonts w:asciiTheme="majorHAnsi" w:hAnsiTheme="majorHAnsi" w:cstheme="majorHAnsi"/>
          <w:lang w:val="hr-HR"/>
        </w:rPr>
        <w:t xml:space="preserve">Ukupna imovina povećala se u odnosu na prethodnu godinu za </w:t>
      </w:r>
      <w:r w:rsidR="009A7274">
        <w:rPr>
          <w:rFonts w:asciiTheme="majorHAnsi" w:hAnsiTheme="majorHAnsi" w:cstheme="majorHAnsi"/>
          <w:lang w:val="hr-HR"/>
        </w:rPr>
        <w:t>8</w:t>
      </w:r>
      <w:r w:rsidRPr="00D67E4A">
        <w:rPr>
          <w:rFonts w:asciiTheme="majorHAnsi" w:hAnsiTheme="majorHAnsi" w:cstheme="majorHAnsi"/>
          <w:lang w:val="hr-HR"/>
        </w:rPr>
        <w:t>,</w:t>
      </w:r>
      <w:r w:rsidR="009A7274">
        <w:rPr>
          <w:rFonts w:asciiTheme="majorHAnsi" w:hAnsiTheme="majorHAnsi" w:cstheme="majorHAnsi"/>
          <w:lang w:val="hr-HR"/>
        </w:rPr>
        <w:t>4</w:t>
      </w:r>
      <w:r w:rsidRPr="00D67E4A">
        <w:rPr>
          <w:rFonts w:asciiTheme="majorHAnsi" w:hAnsiTheme="majorHAnsi" w:cstheme="majorHAnsi"/>
          <w:lang w:val="hr-HR"/>
        </w:rPr>
        <w:t xml:space="preserve">% i iznosi </w:t>
      </w:r>
      <w:r w:rsidR="009A7274">
        <w:rPr>
          <w:rFonts w:asciiTheme="majorHAnsi" w:hAnsiTheme="majorHAnsi" w:cstheme="majorHAnsi"/>
          <w:lang w:val="hr-HR"/>
        </w:rPr>
        <w:t xml:space="preserve">705.023.657,64 </w:t>
      </w:r>
      <w:r w:rsidRPr="00D67E4A">
        <w:rPr>
          <w:rFonts w:ascii="Calibri Light" w:eastAsia="Times New Roman" w:hAnsi="Calibri Light" w:cs="Calibri Light"/>
          <w:color w:val="000000"/>
          <w:lang w:val="hr-HR" w:eastAsia="hr-HR"/>
        </w:rPr>
        <w:t>EUR.</w:t>
      </w:r>
    </w:p>
    <w:p w14:paraId="6A72F4B8" w14:textId="1E18EDCA" w:rsidR="00524D35" w:rsidRDefault="00524D35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3E6510">
        <w:rPr>
          <w:rFonts w:asciiTheme="majorHAnsi" w:hAnsiTheme="majorHAnsi" w:cstheme="majorHAnsi"/>
          <w:lang w:val="hr-HR"/>
        </w:rPr>
        <w:t xml:space="preserve">Neproizvedena dugotrajna imovina (01) </w:t>
      </w:r>
      <w:r w:rsidR="009A7274">
        <w:rPr>
          <w:rFonts w:asciiTheme="majorHAnsi" w:hAnsiTheme="majorHAnsi" w:cstheme="majorHAnsi"/>
          <w:lang w:val="hr-HR"/>
        </w:rPr>
        <w:t xml:space="preserve">smanjila se </w:t>
      </w:r>
      <w:r w:rsidRPr="003E6510">
        <w:rPr>
          <w:rFonts w:asciiTheme="majorHAnsi" w:hAnsiTheme="majorHAnsi" w:cstheme="majorHAnsi"/>
          <w:lang w:val="hr-HR"/>
        </w:rPr>
        <w:t xml:space="preserve">u odnosu na prethodnu godinu za </w:t>
      </w:r>
      <w:r w:rsidR="009A7274">
        <w:rPr>
          <w:rFonts w:asciiTheme="majorHAnsi" w:hAnsiTheme="majorHAnsi" w:cstheme="majorHAnsi"/>
          <w:lang w:val="hr-HR"/>
        </w:rPr>
        <w:t>52,6</w:t>
      </w:r>
      <w:r w:rsidRPr="003E6510">
        <w:rPr>
          <w:rFonts w:asciiTheme="majorHAnsi" w:hAnsiTheme="majorHAnsi" w:cstheme="majorHAnsi"/>
          <w:lang w:val="hr-HR"/>
        </w:rPr>
        <w:t xml:space="preserve">%, </w:t>
      </w:r>
      <w:r w:rsidR="009A7274">
        <w:rPr>
          <w:rFonts w:asciiTheme="majorHAnsi" w:hAnsiTheme="majorHAnsi" w:cstheme="majorHAnsi"/>
          <w:lang w:val="hr-HR"/>
        </w:rPr>
        <w:t xml:space="preserve">jer </w:t>
      </w:r>
      <w:r w:rsidR="00B841A9">
        <w:rPr>
          <w:rFonts w:asciiTheme="majorHAnsi" w:hAnsiTheme="majorHAnsi" w:cstheme="majorHAnsi"/>
          <w:lang w:val="hr-HR"/>
        </w:rPr>
        <w:t xml:space="preserve"> nove licence uglavnom  idu na troškove </w:t>
      </w:r>
      <w:r w:rsidRPr="003E6510">
        <w:rPr>
          <w:rFonts w:asciiTheme="majorHAnsi" w:hAnsiTheme="majorHAnsi" w:cstheme="majorHAnsi"/>
          <w:lang w:val="hr-HR"/>
        </w:rPr>
        <w:t>za redovno poslovanje Hamag-Bicr</w:t>
      </w:r>
      <w:r w:rsidR="009A7274">
        <w:rPr>
          <w:rFonts w:asciiTheme="majorHAnsi" w:hAnsiTheme="majorHAnsi" w:cstheme="majorHAnsi"/>
          <w:lang w:val="hr-HR"/>
        </w:rPr>
        <w:t>o-</w:t>
      </w:r>
      <w:r w:rsidR="00B841A9">
        <w:rPr>
          <w:rFonts w:asciiTheme="majorHAnsi" w:hAnsiTheme="majorHAnsi" w:cstheme="majorHAnsi"/>
          <w:lang w:val="hr-HR"/>
        </w:rPr>
        <w:t>a</w:t>
      </w:r>
      <w:r w:rsidR="00CE3B06" w:rsidRPr="003E6510">
        <w:rPr>
          <w:rFonts w:asciiTheme="majorHAnsi" w:hAnsiTheme="majorHAnsi" w:cstheme="majorHAnsi"/>
          <w:lang w:val="hr-HR"/>
        </w:rPr>
        <w:t>.</w:t>
      </w:r>
    </w:p>
    <w:p w14:paraId="7D13B9D3" w14:textId="49CC4A21" w:rsidR="00524D35" w:rsidRDefault="00524D35" w:rsidP="00CA0D8C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2D27AB">
        <w:rPr>
          <w:rFonts w:asciiTheme="majorHAnsi" w:hAnsiTheme="majorHAnsi" w:cstheme="majorHAnsi"/>
          <w:lang w:val="hr-HR"/>
        </w:rPr>
        <w:t xml:space="preserve">Povećanje </w:t>
      </w:r>
      <w:r w:rsidRPr="00CE3B06">
        <w:rPr>
          <w:rFonts w:asciiTheme="majorHAnsi" w:hAnsiTheme="majorHAnsi" w:cstheme="majorHAnsi"/>
          <w:lang w:val="hr-HR"/>
        </w:rPr>
        <w:t xml:space="preserve">stavke bilance novac u </w:t>
      </w:r>
      <w:r w:rsidR="00931EB4" w:rsidRPr="00CE3B06">
        <w:rPr>
          <w:rFonts w:asciiTheme="majorHAnsi" w:hAnsiTheme="majorHAnsi" w:cstheme="majorHAnsi"/>
          <w:lang w:val="hr-HR"/>
        </w:rPr>
        <w:t xml:space="preserve">banci i </w:t>
      </w:r>
      <w:r w:rsidRPr="00CE3B06">
        <w:rPr>
          <w:rFonts w:asciiTheme="majorHAnsi" w:hAnsiTheme="majorHAnsi" w:cstheme="majorHAnsi"/>
          <w:lang w:val="hr-HR"/>
        </w:rPr>
        <w:t xml:space="preserve">blagajni (11) za </w:t>
      </w:r>
      <w:r w:rsidR="009A7274">
        <w:rPr>
          <w:rFonts w:asciiTheme="majorHAnsi" w:hAnsiTheme="majorHAnsi" w:cstheme="majorHAnsi"/>
          <w:lang w:val="hr-HR"/>
        </w:rPr>
        <w:t>41,1</w:t>
      </w:r>
      <w:r w:rsidRPr="00CE3B06">
        <w:rPr>
          <w:rFonts w:asciiTheme="majorHAnsi" w:hAnsiTheme="majorHAnsi" w:cstheme="majorHAnsi"/>
          <w:lang w:val="hr-HR"/>
        </w:rPr>
        <w:t xml:space="preserve">% odnosi </w:t>
      </w:r>
      <w:r w:rsidRPr="003E6510">
        <w:rPr>
          <w:rFonts w:asciiTheme="majorHAnsi" w:hAnsiTheme="majorHAnsi" w:cstheme="majorHAnsi"/>
          <w:lang w:val="hr-HR"/>
        </w:rPr>
        <w:t xml:space="preserve">se na povećanje </w:t>
      </w:r>
      <w:r w:rsidRPr="00CE3B06">
        <w:rPr>
          <w:rFonts w:asciiTheme="majorHAnsi" w:hAnsiTheme="majorHAnsi" w:cstheme="majorHAnsi"/>
          <w:lang w:val="hr-HR"/>
        </w:rPr>
        <w:t>povrata glavnice i kamata po izdanim zajmovima</w:t>
      </w:r>
      <w:r w:rsidR="00B841A9">
        <w:rPr>
          <w:rFonts w:asciiTheme="majorHAnsi" w:hAnsiTheme="majorHAnsi" w:cstheme="majorHAnsi"/>
          <w:lang w:val="hr-HR"/>
        </w:rPr>
        <w:t xml:space="preserve"> kao i nove alokacije iz EFRR za nove zajmove.</w:t>
      </w:r>
    </w:p>
    <w:p w14:paraId="62F7110F" w14:textId="3837B07D" w:rsidR="00323DB8" w:rsidRPr="00323DB8" w:rsidRDefault="00323DB8" w:rsidP="00D67E4A">
      <w:pPr>
        <w:tabs>
          <w:tab w:val="left" w:pos="3300"/>
        </w:tabs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323DB8">
        <w:rPr>
          <w:rFonts w:asciiTheme="majorHAnsi" w:hAnsiTheme="majorHAnsi" w:cstheme="majorHAnsi"/>
          <w:lang w:val="hr-HR"/>
        </w:rPr>
        <w:t xml:space="preserve">Potraživanja </w:t>
      </w:r>
      <w:r>
        <w:rPr>
          <w:rFonts w:asciiTheme="majorHAnsi" w:hAnsiTheme="majorHAnsi" w:cstheme="majorHAnsi"/>
          <w:lang w:val="hr-HR"/>
        </w:rPr>
        <w:t xml:space="preserve">za prihode poslovanja (16) povećana su za </w:t>
      </w:r>
      <w:r w:rsidR="006D6E50">
        <w:rPr>
          <w:rFonts w:asciiTheme="majorHAnsi" w:hAnsiTheme="majorHAnsi" w:cstheme="majorHAnsi"/>
          <w:lang w:val="hr-HR"/>
        </w:rPr>
        <w:t>16,4%</w:t>
      </w:r>
      <w:r w:rsidR="00387E68">
        <w:rPr>
          <w:rFonts w:asciiTheme="majorHAnsi" w:hAnsiTheme="majorHAnsi" w:cstheme="majorHAnsi"/>
          <w:lang w:val="hr-HR"/>
        </w:rPr>
        <w:t xml:space="preserve"> i iznose </w:t>
      </w:r>
      <w:r w:rsidR="006D6E50" w:rsidRPr="006D6E50">
        <w:rPr>
          <w:rFonts w:asciiTheme="majorHAnsi" w:hAnsiTheme="majorHAnsi" w:cstheme="majorHAnsi"/>
          <w:lang w:val="hr-HR"/>
        </w:rPr>
        <w:t>35.827.687,34</w:t>
      </w:r>
      <w:r w:rsidR="006D6E50">
        <w:rPr>
          <w:rFonts w:asciiTheme="majorHAnsi" w:hAnsiTheme="majorHAnsi" w:cstheme="majorHAnsi"/>
          <w:lang w:val="hr-HR"/>
        </w:rPr>
        <w:t xml:space="preserve"> </w:t>
      </w:r>
      <w:r w:rsidR="00387E68">
        <w:rPr>
          <w:rFonts w:asciiTheme="majorHAnsi" w:hAnsiTheme="majorHAnsi" w:cstheme="majorHAnsi"/>
          <w:lang w:val="hr-HR"/>
        </w:rPr>
        <w:t>EUR</w:t>
      </w:r>
      <w:r w:rsidR="002A6B8F">
        <w:rPr>
          <w:rFonts w:asciiTheme="majorHAnsi" w:hAnsiTheme="majorHAnsi" w:cstheme="majorHAnsi"/>
          <w:lang w:val="hr-HR"/>
        </w:rPr>
        <w:t xml:space="preserve"> </w:t>
      </w:r>
      <w:r w:rsidR="00220767">
        <w:rPr>
          <w:rFonts w:asciiTheme="majorHAnsi" w:hAnsiTheme="majorHAnsi" w:cstheme="majorHAnsi"/>
          <w:lang w:val="hr-HR"/>
        </w:rPr>
        <w:t>uslijed porasta naplate po osnovi redovnih i zateznih kamata na izdane zajmove</w:t>
      </w:r>
      <w:r w:rsidR="00387E68">
        <w:rPr>
          <w:rFonts w:asciiTheme="majorHAnsi" w:hAnsiTheme="majorHAnsi" w:cstheme="majorHAnsi"/>
          <w:lang w:val="hr-HR"/>
        </w:rPr>
        <w:t>.</w:t>
      </w:r>
    </w:p>
    <w:p w14:paraId="32915C66" w14:textId="51F91910" w:rsidR="00524D35" w:rsidRPr="00D67E4A" w:rsidRDefault="00984036" w:rsidP="00D67E4A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pt-BR"/>
        </w:rPr>
      </w:pPr>
      <w:r w:rsidRPr="00D67E4A">
        <w:rPr>
          <w:rFonts w:asciiTheme="majorHAnsi" w:hAnsiTheme="majorHAnsi" w:cstheme="majorHAnsi"/>
          <w:color w:val="000000" w:themeColor="text1"/>
          <w:lang w:val="pt-BR"/>
        </w:rPr>
        <w:t>Rashodi budućih razdoblja i nedospjela naplata prihoda (19) povećali su se za 1</w:t>
      </w:r>
      <w:r w:rsidR="00B43BB0">
        <w:rPr>
          <w:rFonts w:asciiTheme="majorHAnsi" w:hAnsiTheme="majorHAnsi" w:cstheme="majorHAnsi"/>
          <w:color w:val="000000" w:themeColor="text1"/>
          <w:lang w:val="pt-BR"/>
        </w:rPr>
        <w:t>0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>,</w:t>
      </w:r>
      <w:r w:rsidR="00B43BB0">
        <w:rPr>
          <w:rFonts w:asciiTheme="majorHAnsi" w:hAnsiTheme="majorHAnsi" w:cstheme="majorHAnsi"/>
          <w:color w:val="000000" w:themeColor="text1"/>
          <w:lang w:val="pt-BR"/>
        </w:rPr>
        <w:t>8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 xml:space="preserve">% a isti se odnose na troškove plaća i dio </w:t>
      </w:r>
      <w:r w:rsidR="00D82812">
        <w:rPr>
          <w:rFonts w:asciiTheme="majorHAnsi" w:hAnsiTheme="majorHAnsi" w:cstheme="majorHAnsi"/>
          <w:color w:val="000000" w:themeColor="text1"/>
          <w:lang w:val="pt-BR"/>
        </w:rPr>
        <w:t>računa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  <w:r w:rsidR="00D82812">
        <w:rPr>
          <w:rFonts w:asciiTheme="majorHAnsi" w:hAnsiTheme="majorHAnsi" w:cstheme="majorHAnsi"/>
          <w:color w:val="000000" w:themeColor="text1"/>
          <w:lang w:val="pt-BR"/>
        </w:rPr>
        <w:t xml:space="preserve">izdanih tijekom 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>prosinc</w:t>
      </w:r>
      <w:r w:rsidR="00D82812">
        <w:rPr>
          <w:rFonts w:asciiTheme="majorHAnsi" w:hAnsiTheme="majorHAnsi" w:cstheme="majorHAnsi"/>
          <w:color w:val="000000" w:themeColor="text1"/>
          <w:lang w:val="pt-BR"/>
        </w:rPr>
        <w:t>a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 xml:space="preserve"> 202</w:t>
      </w:r>
      <w:r w:rsidR="00B43BB0">
        <w:rPr>
          <w:rFonts w:asciiTheme="majorHAnsi" w:hAnsiTheme="majorHAnsi" w:cstheme="majorHAnsi"/>
          <w:color w:val="000000" w:themeColor="text1"/>
          <w:lang w:val="pt-BR"/>
        </w:rPr>
        <w:t>4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 xml:space="preserve">. </w:t>
      </w:r>
      <w:r w:rsidR="00D82812">
        <w:rPr>
          <w:rFonts w:asciiTheme="majorHAnsi" w:hAnsiTheme="majorHAnsi" w:cstheme="majorHAnsi"/>
          <w:color w:val="000000" w:themeColor="text1"/>
          <w:lang w:val="pt-BR"/>
        </w:rPr>
        <w:t>g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>odine</w:t>
      </w:r>
      <w:r w:rsidR="00D82812">
        <w:rPr>
          <w:rFonts w:asciiTheme="majorHAnsi" w:hAnsiTheme="majorHAnsi" w:cstheme="majorHAnsi"/>
          <w:color w:val="000000" w:themeColor="text1"/>
          <w:lang w:val="pt-BR"/>
        </w:rPr>
        <w:t xml:space="preserve"> s dospijećem u 2025.</w:t>
      </w:r>
      <w:r w:rsidRPr="00D67E4A">
        <w:rPr>
          <w:rFonts w:asciiTheme="majorHAnsi" w:hAnsiTheme="majorHAnsi" w:cstheme="majorHAnsi"/>
          <w:color w:val="000000" w:themeColor="text1"/>
          <w:lang w:val="pt-BR"/>
        </w:rPr>
        <w:t xml:space="preserve"> </w:t>
      </w:r>
    </w:p>
    <w:p w14:paraId="1DCB7F93" w14:textId="77777777" w:rsidR="00D82812" w:rsidRDefault="00D82812" w:rsidP="00D67E4A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506A9B81" w14:textId="77777777" w:rsidR="00B841A9" w:rsidRDefault="00B841A9" w:rsidP="00D67E4A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1BA7932" w14:textId="4C075592" w:rsidR="00DE1059" w:rsidRDefault="00984036" w:rsidP="00D67E4A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Obveze i vlastiti izvori (B003) povećali su se za </w:t>
      </w:r>
      <w:r w:rsidR="0015568C">
        <w:rPr>
          <w:rFonts w:asciiTheme="majorHAnsi" w:hAnsiTheme="majorHAnsi" w:cstheme="majorHAnsi"/>
          <w:color w:val="000000" w:themeColor="text1"/>
          <w:lang w:val="hr-HR"/>
        </w:rPr>
        <w:t>8</w:t>
      </w:r>
      <w:r>
        <w:rPr>
          <w:rFonts w:asciiTheme="majorHAnsi" w:hAnsiTheme="majorHAnsi" w:cstheme="majorHAnsi"/>
          <w:color w:val="000000" w:themeColor="text1"/>
          <w:lang w:val="hr-HR"/>
        </w:rPr>
        <w:t>,</w:t>
      </w:r>
      <w:r w:rsidR="0015568C">
        <w:rPr>
          <w:rFonts w:asciiTheme="majorHAnsi" w:hAnsiTheme="majorHAnsi" w:cstheme="majorHAnsi"/>
          <w:color w:val="000000" w:themeColor="text1"/>
          <w:lang w:val="hr-HR"/>
        </w:rPr>
        <w:t>4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%, a isti se odnose na </w:t>
      </w:r>
      <w:r w:rsidR="00524D35">
        <w:rPr>
          <w:rFonts w:asciiTheme="majorHAnsi" w:hAnsiTheme="majorHAnsi" w:cstheme="majorHAnsi"/>
          <w:color w:val="000000" w:themeColor="text1"/>
          <w:lang w:val="hr-HR"/>
        </w:rPr>
        <w:t>obveze (2)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koje</w:t>
      </w:r>
      <w:r w:rsidR="00524D35">
        <w:rPr>
          <w:rFonts w:asciiTheme="majorHAnsi" w:hAnsiTheme="majorHAnsi" w:cstheme="majorHAnsi"/>
          <w:color w:val="000000" w:themeColor="text1"/>
          <w:lang w:val="hr-HR"/>
        </w:rPr>
        <w:t xml:space="preserve"> su porasle za </w:t>
      </w:r>
      <w:r w:rsidR="00C8290E">
        <w:rPr>
          <w:rFonts w:asciiTheme="majorHAnsi" w:hAnsiTheme="majorHAnsi" w:cstheme="majorHAnsi"/>
          <w:color w:val="000000" w:themeColor="text1"/>
          <w:lang w:val="hr-HR"/>
        </w:rPr>
        <w:t>7</w:t>
      </w:r>
      <w:r w:rsidR="00524D35">
        <w:rPr>
          <w:rFonts w:asciiTheme="majorHAnsi" w:hAnsiTheme="majorHAnsi" w:cstheme="majorHAnsi"/>
          <w:color w:val="000000" w:themeColor="text1"/>
          <w:lang w:val="hr-HR"/>
        </w:rPr>
        <w:t>,</w:t>
      </w:r>
      <w:r w:rsidR="00D233F1">
        <w:rPr>
          <w:rFonts w:asciiTheme="majorHAnsi" w:hAnsiTheme="majorHAnsi" w:cstheme="majorHAnsi"/>
          <w:color w:val="000000" w:themeColor="text1"/>
          <w:lang w:val="hr-HR"/>
        </w:rPr>
        <w:t>0</w:t>
      </w:r>
      <w:r w:rsidR="00524D35">
        <w:rPr>
          <w:rFonts w:asciiTheme="majorHAnsi" w:hAnsiTheme="majorHAnsi" w:cstheme="majorHAnsi"/>
          <w:color w:val="000000" w:themeColor="text1"/>
          <w:lang w:val="hr-HR"/>
        </w:rPr>
        <w:t xml:space="preserve">%, a čine ih </w:t>
      </w:r>
      <w:r w:rsidR="00C8290E">
        <w:rPr>
          <w:rFonts w:asciiTheme="majorHAnsi" w:hAnsiTheme="majorHAnsi" w:cstheme="majorHAnsi"/>
          <w:color w:val="000000" w:themeColor="text1"/>
          <w:lang w:val="hr-HR"/>
        </w:rPr>
        <w:t xml:space="preserve">najvećim dijelom </w:t>
      </w:r>
      <w:r w:rsidR="00524D35">
        <w:rPr>
          <w:rFonts w:asciiTheme="majorHAnsi" w:hAnsiTheme="majorHAnsi" w:cstheme="majorHAnsi"/>
          <w:color w:val="000000" w:themeColor="text1"/>
          <w:lang w:val="hr-HR"/>
        </w:rPr>
        <w:t xml:space="preserve">obveze za zaposlene (231) s porastom od </w:t>
      </w:r>
      <w:r w:rsidR="00D233F1">
        <w:rPr>
          <w:rFonts w:asciiTheme="majorHAnsi" w:hAnsiTheme="majorHAnsi" w:cstheme="majorHAnsi"/>
          <w:color w:val="000000" w:themeColor="text1"/>
          <w:lang w:val="hr-HR"/>
        </w:rPr>
        <w:t>11,3</w:t>
      </w:r>
      <w:r w:rsidR="00C8290E">
        <w:rPr>
          <w:rFonts w:asciiTheme="majorHAnsi" w:hAnsiTheme="majorHAnsi" w:cstheme="majorHAnsi"/>
          <w:color w:val="000000" w:themeColor="text1"/>
          <w:lang w:val="hr-HR"/>
        </w:rPr>
        <w:t>%.</w:t>
      </w:r>
      <w:r w:rsidR="00E26AA5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1926F6C7" w14:textId="18BA2D70" w:rsidR="00DE1059" w:rsidRDefault="00DE1059" w:rsidP="00D67E4A">
      <w:pPr>
        <w:autoSpaceDE w:val="0"/>
        <w:autoSpaceDN w:val="0"/>
        <w:spacing w:line="276" w:lineRule="auto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Vlastiti izvori iznose 1</w:t>
      </w:r>
      <w:r w:rsidR="00D233F1">
        <w:rPr>
          <w:rFonts w:asciiTheme="majorHAnsi" w:hAnsiTheme="majorHAnsi" w:cstheme="majorHAnsi"/>
          <w:lang w:val="hr-HR"/>
        </w:rPr>
        <w:t>44</w:t>
      </w:r>
      <w:r>
        <w:rPr>
          <w:rFonts w:asciiTheme="majorHAnsi" w:hAnsiTheme="majorHAnsi" w:cstheme="majorHAnsi"/>
          <w:lang w:val="hr-HR"/>
        </w:rPr>
        <w:t>.</w:t>
      </w:r>
      <w:r w:rsidR="00D233F1">
        <w:rPr>
          <w:rFonts w:asciiTheme="majorHAnsi" w:hAnsiTheme="majorHAnsi" w:cstheme="majorHAnsi"/>
          <w:lang w:val="hr-HR"/>
        </w:rPr>
        <w:t>088</w:t>
      </w:r>
      <w:r>
        <w:rPr>
          <w:rFonts w:asciiTheme="majorHAnsi" w:hAnsiTheme="majorHAnsi" w:cstheme="majorHAnsi"/>
          <w:lang w:val="hr-HR"/>
        </w:rPr>
        <w:t>.</w:t>
      </w:r>
      <w:r w:rsidR="00D233F1">
        <w:rPr>
          <w:rFonts w:asciiTheme="majorHAnsi" w:hAnsiTheme="majorHAnsi" w:cstheme="majorHAnsi"/>
          <w:lang w:val="hr-HR"/>
        </w:rPr>
        <w:t>964,17</w:t>
      </w:r>
      <w:r>
        <w:rPr>
          <w:rFonts w:asciiTheme="majorHAnsi" w:hAnsiTheme="majorHAnsi" w:cstheme="majorHAnsi"/>
          <w:lang w:val="hr-HR"/>
        </w:rPr>
        <w:t xml:space="preserve"> EUR</w:t>
      </w:r>
      <w:r w:rsidR="00D82812">
        <w:rPr>
          <w:rFonts w:asciiTheme="majorHAnsi" w:hAnsiTheme="majorHAnsi" w:cstheme="majorHAnsi"/>
          <w:lang w:val="hr-HR"/>
        </w:rPr>
        <w:t>,</w:t>
      </w:r>
      <w:r>
        <w:rPr>
          <w:rFonts w:asciiTheme="majorHAnsi" w:hAnsiTheme="majorHAnsi" w:cstheme="majorHAnsi"/>
          <w:lang w:val="hr-HR"/>
        </w:rPr>
        <w:t xml:space="preserve"> </w:t>
      </w:r>
      <w:r w:rsidR="00D233F1">
        <w:rPr>
          <w:rFonts w:asciiTheme="majorHAnsi" w:hAnsiTheme="majorHAnsi" w:cstheme="majorHAnsi"/>
          <w:lang w:val="hr-HR"/>
        </w:rPr>
        <w:t xml:space="preserve">što čini povećanje </w:t>
      </w:r>
      <w:r>
        <w:rPr>
          <w:rFonts w:asciiTheme="majorHAnsi" w:hAnsiTheme="majorHAnsi" w:cstheme="majorHAnsi"/>
          <w:lang w:val="hr-HR"/>
        </w:rPr>
        <w:t xml:space="preserve">za </w:t>
      </w:r>
      <w:r w:rsidR="00D233F1">
        <w:rPr>
          <w:rFonts w:asciiTheme="majorHAnsi" w:hAnsiTheme="majorHAnsi" w:cstheme="majorHAnsi"/>
          <w:lang w:val="hr-HR"/>
        </w:rPr>
        <w:t>14</w:t>
      </w:r>
      <w:r>
        <w:rPr>
          <w:rFonts w:asciiTheme="majorHAnsi" w:hAnsiTheme="majorHAnsi" w:cstheme="majorHAnsi"/>
          <w:lang w:val="hr-HR"/>
        </w:rPr>
        <w:t>,</w:t>
      </w:r>
      <w:r w:rsidR="00D233F1">
        <w:rPr>
          <w:rFonts w:asciiTheme="majorHAnsi" w:hAnsiTheme="majorHAnsi" w:cstheme="majorHAnsi"/>
          <w:lang w:val="hr-HR"/>
        </w:rPr>
        <w:t>5</w:t>
      </w:r>
      <w:r>
        <w:rPr>
          <w:rFonts w:asciiTheme="majorHAnsi" w:hAnsiTheme="majorHAnsi" w:cstheme="majorHAnsi"/>
          <w:lang w:val="hr-HR"/>
        </w:rPr>
        <w:t>%</w:t>
      </w:r>
      <w:r w:rsidR="00D82812">
        <w:rPr>
          <w:rFonts w:asciiTheme="majorHAnsi" w:hAnsiTheme="majorHAnsi" w:cstheme="majorHAnsi"/>
          <w:lang w:val="hr-HR"/>
        </w:rPr>
        <w:t xml:space="preserve"> u odnosu na prethodno razdoblje</w:t>
      </w:r>
      <w:r w:rsidR="00B841A9">
        <w:rPr>
          <w:rFonts w:asciiTheme="majorHAnsi" w:hAnsiTheme="majorHAnsi" w:cstheme="majorHAnsi"/>
          <w:lang w:val="hr-HR"/>
        </w:rPr>
        <w:t xml:space="preserve"> a isto se odnosi najvećim dijelom na vlastite izvore iz proračuna zbog plasmana novih zajmova.</w:t>
      </w:r>
    </w:p>
    <w:p w14:paraId="45EDBA0D" w14:textId="77777777" w:rsidR="00B841A9" w:rsidRDefault="00B841A9" w:rsidP="00D67E4A">
      <w:pPr>
        <w:autoSpaceDE w:val="0"/>
        <w:autoSpaceDN w:val="0"/>
        <w:spacing w:line="276" w:lineRule="auto"/>
        <w:jc w:val="both"/>
        <w:rPr>
          <w:rFonts w:asciiTheme="majorHAnsi" w:hAnsiTheme="majorHAnsi" w:cstheme="majorHAnsi"/>
          <w:lang w:val="hr-HR"/>
        </w:rPr>
      </w:pPr>
    </w:p>
    <w:p w14:paraId="00C5AAA6" w14:textId="13205859" w:rsidR="00984036" w:rsidRPr="007A2B4D" w:rsidRDefault="00984036" w:rsidP="00D67E4A">
      <w:pPr>
        <w:autoSpaceDE w:val="0"/>
        <w:autoSpaceDN w:val="0"/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185E81">
        <w:rPr>
          <w:rFonts w:asciiTheme="majorHAnsi" w:hAnsiTheme="majorHAnsi" w:cstheme="majorHAnsi"/>
          <w:lang w:val="hr-HR"/>
        </w:rPr>
        <w:t xml:space="preserve">Izvanbilančni zapisi </w:t>
      </w:r>
      <w:r w:rsidR="00DE1059">
        <w:rPr>
          <w:rFonts w:asciiTheme="majorHAnsi" w:hAnsiTheme="majorHAnsi" w:cstheme="majorHAnsi"/>
          <w:lang w:val="hr-HR"/>
        </w:rPr>
        <w:t xml:space="preserve">(99) </w:t>
      </w:r>
      <w:r w:rsidR="00695CBE">
        <w:rPr>
          <w:rFonts w:asciiTheme="majorHAnsi" w:hAnsiTheme="majorHAnsi" w:cstheme="majorHAnsi"/>
          <w:lang w:val="hr-HR"/>
        </w:rPr>
        <w:t>su smanjeni za 2,5%  u odnus na prethodnu godinu zbog manjeg broja izdanih jamstava kao i smanjenja potencijlnih obveza po starim jamstvima usl</w:t>
      </w:r>
      <w:r w:rsidR="00CD70F7">
        <w:rPr>
          <w:rFonts w:asciiTheme="majorHAnsi" w:hAnsiTheme="majorHAnsi" w:cstheme="majorHAnsi"/>
          <w:lang w:val="hr-HR"/>
        </w:rPr>
        <w:t>i</w:t>
      </w:r>
      <w:r w:rsidR="00695CBE">
        <w:rPr>
          <w:rFonts w:asciiTheme="majorHAnsi" w:hAnsiTheme="majorHAnsi" w:cstheme="majorHAnsi"/>
          <w:lang w:val="hr-HR"/>
        </w:rPr>
        <w:t xml:space="preserve">jed otplate kredita. Ista sadrže </w:t>
      </w:r>
      <w:r w:rsidRPr="00185E81">
        <w:rPr>
          <w:rFonts w:asciiTheme="majorHAnsi" w:hAnsiTheme="majorHAnsi" w:cstheme="majorHAnsi"/>
          <w:lang w:val="hr-HR"/>
        </w:rPr>
        <w:t xml:space="preserve"> izdana neprotestirana jamstva</w:t>
      </w:r>
      <w:r w:rsidR="00DE1059">
        <w:rPr>
          <w:rFonts w:asciiTheme="majorHAnsi" w:hAnsiTheme="majorHAnsi" w:cstheme="majorHAnsi"/>
          <w:lang w:val="hr-HR"/>
        </w:rPr>
        <w:t>,</w:t>
      </w:r>
      <w:r w:rsidRPr="00185E81">
        <w:rPr>
          <w:rFonts w:asciiTheme="majorHAnsi" w:hAnsiTheme="majorHAnsi" w:cstheme="majorHAnsi"/>
          <w:lang w:val="hr-HR"/>
        </w:rPr>
        <w:t xml:space="preserve"> primljene zadužnice po izdanim jamstvima i kreditima</w:t>
      </w:r>
      <w:r w:rsidR="00047359">
        <w:rPr>
          <w:rFonts w:asciiTheme="majorHAnsi" w:hAnsiTheme="majorHAnsi" w:cstheme="majorHAnsi"/>
          <w:lang w:val="hr-HR"/>
        </w:rPr>
        <w:t xml:space="preserve">,  </w:t>
      </w:r>
      <w:r w:rsidRPr="007A2B4D">
        <w:rPr>
          <w:rFonts w:asciiTheme="majorHAnsi" w:hAnsiTheme="majorHAnsi" w:cstheme="majorHAnsi"/>
          <w:lang w:val="hr-HR"/>
        </w:rPr>
        <w:t xml:space="preserve">potencijalne obveze temeljem sudskih sporova </w:t>
      </w:r>
      <w:r w:rsidR="00695CBE">
        <w:rPr>
          <w:rFonts w:asciiTheme="majorHAnsi" w:hAnsiTheme="majorHAnsi" w:cstheme="majorHAnsi"/>
          <w:lang w:val="hr-HR"/>
        </w:rPr>
        <w:t xml:space="preserve">i ostala vanbilančna knjiženja. </w:t>
      </w:r>
    </w:p>
    <w:p w14:paraId="4349C98B" w14:textId="77777777" w:rsidR="00984036" w:rsidRPr="002D27AB" w:rsidRDefault="00984036" w:rsidP="00CA0D8C">
      <w:pPr>
        <w:spacing w:line="276" w:lineRule="auto"/>
        <w:jc w:val="both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41843CCB" w14:textId="77777777" w:rsidR="002E1BA5" w:rsidRDefault="002E1BA5" w:rsidP="00CA0D8C">
      <w:pPr>
        <w:pStyle w:val="Default"/>
        <w:shd w:val="clear" w:color="auto" w:fill="FFFFFF"/>
        <w:spacing w:line="276" w:lineRule="auto"/>
        <w:jc w:val="both"/>
        <w:rPr>
          <w:b/>
          <w:noProof/>
          <w:color w:val="auto"/>
          <w:sz w:val="22"/>
          <w:szCs w:val="22"/>
          <w:u w:val="single"/>
        </w:rPr>
      </w:pPr>
    </w:p>
    <w:p w14:paraId="41495437" w14:textId="77777777" w:rsidR="00524D35" w:rsidRPr="00FD19BB" w:rsidRDefault="00524D35" w:rsidP="00CA0D8C">
      <w:pPr>
        <w:spacing w:after="160" w:line="276" w:lineRule="auto"/>
        <w:rPr>
          <w:rFonts w:asciiTheme="majorHAnsi" w:hAnsiTheme="majorHAnsi" w:cstheme="majorHAnsi"/>
          <w:b/>
          <w:bCs/>
          <w:color w:val="000000" w:themeColor="text1"/>
          <w:u w:val="single"/>
          <w:lang w:val="hr-HR"/>
        </w:rPr>
      </w:pPr>
      <w:r w:rsidRPr="00FD19BB">
        <w:rPr>
          <w:rFonts w:asciiTheme="majorHAnsi" w:hAnsiTheme="majorHAnsi" w:cstheme="majorHAnsi"/>
          <w:b/>
          <w:bCs/>
          <w:color w:val="000000" w:themeColor="text1"/>
          <w:u w:val="single"/>
          <w:lang w:val="hr-HR"/>
        </w:rPr>
        <w:t xml:space="preserve">Bilješke  uz PVRIO </w:t>
      </w:r>
    </w:p>
    <w:p w14:paraId="35309920" w14:textId="676CF123" w:rsidR="00524D35" w:rsidRPr="00FD19BB" w:rsidRDefault="00524D35" w:rsidP="009408CD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>Tijekom 202</w:t>
      </w:r>
      <w:r w:rsidR="0039543F">
        <w:rPr>
          <w:rFonts w:asciiTheme="majorHAnsi" w:hAnsiTheme="majorHAnsi" w:cstheme="majorHAnsi"/>
          <w:color w:val="000000" w:themeColor="text1"/>
          <w:lang w:val="hr-HR"/>
        </w:rPr>
        <w:t>4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. smanjio se obujam imovine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kako 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sl</w:t>
      </w:r>
      <w:r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jed</w:t>
      </w:r>
      <w:r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FD19BB">
        <w:rPr>
          <w:rFonts w:asciiTheme="majorHAnsi" w:hAnsiTheme="majorHAnsi" w:cstheme="majorHAnsi"/>
          <w:color w:val="000000" w:themeColor="text1"/>
          <w:lang w:val="hr-HR"/>
        </w:rPr>
        <w:t>:</w:t>
      </w:r>
    </w:p>
    <w:p w14:paraId="246F349F" w14:textId="24551822" w:rsidR="00524D35" w:rsidRPr="00524D35" w:rsidRDefault="00524D35" w:rsidP="009408CD">
      <w:pPr>
        <w:spacing w:line="276" w:lineRule="auto"/>
        <w:jc w:val="both"/>
        <w:rPr>
          <w:rFonts w:asciiTheme="majorHAnsi" w:hAnsiTheme="majorHAnsi" w:cstheme="majorHAnsi"/>
          <w:color w:val="FF0000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P003 Proizvedena </w:t>
      </w:r>
      <w:r w:rsidRPr="00F70454">
        <w:rPr>
          <w:rFonts w:asciiTheme="majorHAnsi" w:hAnsiTheme="majorHAnsi" w:cstheme="majorHAnsi"/>
          <w:lang w:val="hr-HR"/>
        </w:rPr>
        <w:t xml:space="preserve">dugotrajna imovina smanjena je u iznosu od </w:t>
      </w:r>
      <w:r w:rsidR="00F35F23">
        <w:rPr>
          <w:rFonts w:asciiTheme="majorHAnsi" w:hAnsiTheme="majorHAnsi" w:cstheme="majorHAnsi"/>
          <w:lang w:val="hr-HR"/>
        </w:rPr>
        <w:t>2.147,77</w:t>
      </w:r>
      <w:r w:rsidRPr="00F70454">
        <w:rPr>
          <w:rFonts w:asciiTheme="majorHAnsi" w:hAnsiTheme="majorHAnsi" w:cstheme="majorHAnsi"/>
          <w:lang w:val="hr-HR"/>
        </w:rPr>
        <w:t xml:space="preserve"> EUR, a odnosi se na  rashodovanu dugotrajnu imovinu koja više nije u upotrebi. </w:t>
      </w:r>
    </w:p>
    <w:p w14:paraId="67A80BD5" w14:textId="74D4188F" w:rsidR="00524D35" w:rsidRDefault="00524D35" w:rsidP="009408CD">
      <w:pPr>
        <w:spacing w:line="276" w:lineRule="auto"/>
        <w:jc w:val="both"/>
        <w:rPr>
          <w:rFonts w:asciiTheme="majorHAnsi" w:hAnsiTheme="majorHAnsi" w:cstheme="majorHAnsi"/>
          <w:color w:val="FF0000"/>
          <w:lang w:val="hr-HR"/>
        </w:rPr>
      </w:pPr>
      <w:r w:rsidRPr="00FD19BB">
        <w:rPr>
          <w:rFonts w:asciiTheme="majorHAnsi" w:hAnsiTheme="majorHAnsi" w:cstheme="majorHAnsi"/>
          <w:color w:val="000000" w:themeColor="text1"/>
          <w:lang w:val="hr-HR"/>
        </w:rPr>
        <w:t xml:space="preserve">P029 Potraživanja za prihode poslovanja smanjena su u iznosu od </w:t>
      </w:r>
      <w:r w:rsidR="00F35F23">
        <w:rPr>
          <w:rFonts w:asciiTheme="majorHAnsi" w:hAnsiTheme="majorHAnsi" w:cstheme="majorHAnsi"/>
          <w:color w:val="000000" w:themeColor="text1"/>
          <w:lang w:val="hr-HR"/>
        </w:rPr>
        <w:t>421.280,42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EUR</w:t>
      </w:r>
      <w:r w:rsidR="00E26AA5">
        <w:rPr>
          <w:rFonts w:asciiTheme="majorHAnsi" w:hAnsiTheme="majorHAnsi" w:cstheme="majorHAnsi"/>
          <w:color w:val="000000" w:themeColor="text1"/>
          <w:lang w:val="hr-HR"/>
        </w:rPr>
        <w:t xml:space="preserve"> uslijed </w:t>
      </w:r>
      <w:r w:rsidRPr="007A2B4D">
        <w:rPr>
          <w:rFonts w:asciiTheme="majorHAnsi" w:hAnsiTheme="majorHAnsi" w:cstheme="majorHAnsi"/>
          <w:lang w:val="hr-HR"/>
        </w:rPr>
        <w:t xml:space="preserve">otpisa potraživanja </w:t>
      </w:r>
      <w:r w:rsidR="00412836">
        <w:rPr>
          <w:rFonts w:asciiTheme="majorHAnsi" w:hAnsiTheme="majorHAnsi" w:cstheme="majorHAnsi"/>
          <w:lang w:val="hr-HR"/>
        </w:rPr>
        <w:t>sukladno odredbi članka 28. st. 5</w:t>
      </w:r>
      <w:r w:rsidR="009F0AD2">
        <w:rPr>
          <w:rFonts w:asciiTheme="majorHAnsi" w:hAnsiTheme="majorHAnsi" w:cstheme="majorHAnsi"/>
          <w:lang w:val="hr-HR"/>
        </w:rPr>
        <w:t>.</w:t>
      </w:r>
      <w:r w:rsidR="00412836">
        <w:rPr>
          <w:rFonts w:asciiTheme="majorHAnsi" w:hAnsiTheme="majorHAnsi" w:cstheme="majorHAnsi"/>
          <w:lang w:val="hr-HR"/>
        </w:rPr>
        <w:t xml:space="preserve"> </w:t>
      </w:r>
      <w:r w:rsidR="00F35F23">
        <w:rPr>
          <w:rFonts w:asciiTheme="majorHAnsi" w:hAnsiTheme="majorHAnsi" w:cstheme="majorHAnsi"/>
          <w:lang w:val="hr-HR"/>
        </w:rPr>
        <w:t>Uredbe o kriterijima, mjerilima i postupku za odgodu plaćanja, obročnu otplatu duga te prodaju, otpis ili djelomičan otpis potraživanja</w:t>
      </w:r>
      <w:r w:rsidR="009408CD">
        <w:rPr>
          <w:rFonts w:asciiTheme="majorHAnsi" w:hAnsiTheme="majorHAnsi" w:cstheme="majorHAnsi"/>
          <w:lang w:val="hr-HR"/>
        </w:rPr>
        <w:t xml:space="preserve">  (</w:t>
      </w:r>
      <w:r w:rsidR="00F35F23">
        <w:rPr>
          <w:rFonts w:asciiTheme="majorHAnsi" w:hAnsiTheme="majorHAnsi" w:cstheme="majorHAnsi"/>
          <w:lang w:val="hr-HR"/>
        </w:rPr>
        <w:t>NN br. 52/2013, 94/2014 i 144/2021</w:t>
      </w:r>
      <w:r w:rsidR="009408CD">
        <w:rPr>
          <w:rFonts w:asciiTheme="majorHAnsi" w:hAnsiTheme="majorHAnsi" w:cstheme="majorHAnsi"/>
          <w:lang w:val="hr-HR"/>
        </w:rPr>
        <w:t>)</w:t>
      </w:r>
      <w:r w:rsidR="00412836">
        <w:rPr>
          <w:rFonts w:asciiTheme="majorHAnsi" w:hAnsiTheme="majorHAnsi" w:cstheme="majorHAnsi"/>
          <w:lang w:val="hr-HR"/>
        </w:rPr>
        <w:t>.</w:t>
      </w:r>
    </w:p>
    <w:p w14:paraId="0F3DAAAE" w14:textId="77777777" w:rsidR="00A7384D" w:rsidRDefault="00A7384D" w:rsidP="00CA0D8C">
      <w:pPr>
        <w:spacing w:line="276" w:lineRule="auto"/>
        <w:jc w:val="both"/>
        <w:rPr>
          <w:rFonts w:asciiTheme="majorHAnsi" w:hAnsiTheme="majorHAnsi" w:cstheme="majorHAnsi"/>
          <w:color w:val="FF0000"/>
          <w:lang w:val="hr-HR"/>
        </w:rPr>
      </w:pPr>
    </w:p>
    <w:p w14:paraId="105399AB" w14:textId="77777777" w:rsidR="00A7384D" w:rsidRPr="00FD19BB" w:rsidRDefault="00A7384D" w:rsidP="00CA0D8C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D074C11" w14:textId="77777777" w:rsidR="00524D35" w:rsidRPr="003D6E19" w:rsidRDefault="00524D35" w:rsidP="00CA0D8C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/>
          <w:noProof/>
          <w:sz w:val="22"/>
          <w:szCs w:val="22"/>
          <w:u w:val="single"/>
        </w:rPr>
      </w:pPr>
      <w:r w:rsidRPr="003D6E19">
        <w:rPr>
          <w:rFonts w:asciiTheme="majorHAnsi" w:hAnsiTheme="majorHAnsi" w:cstheme="majorHAnsi"/>
          <w:b/>
          <w:noProof/>
          <w:sz w:val="22"/>
          <w:szCs w:val="22"/>
          <w:u w:val="single"/>
        </w:rPr>
        <w:t>Bilješke uz Izvještaj o obvezama</w:t>
      </w:r>
    </w:p>
    <w:p w14:paraId="2BFE1679" w14:textId="77777777" w:rsidR="00524D35" w:rsidRDefault="00524D35" w:rsidP="00CA0D8C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sz w:val="22"/>
          <w:szCs w:val="22"/>
        </w:rPr>
      </w:pPr>
    </w:p>
    <w:p w14:paraId="4DB0E1D2" w14:textId="4DBA437A" w:rsidR="00524D35" w:rsidRPr="00AB2A17" w:rsidRDefault="004D1086" w:rsidP="001149D4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color w:val="auto"/>
          <w:sz w:val="22"/>
          <w:szCs w:val="22"/>
        </w:rPr>
      </w:pPr>
      <w:r>
        <w:rPr>
          <w:rFonts w:asciiTheme="majorHAnsi" w:hAnsiTheme="majorHAnsi" w:cstheme="majorHAnsi"/>
          <w:bCs/>
          <w:noProof/>
          <w:sz w:val="22"/>
          <w:szCs w:val="22"/>
        </w:rPr>
        <w:t>Stanje obveza 1. siječnja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noProof/>
          <w:sz w:val="22"/>
          <w:szCs w:val="22"/>
        </w:rPr>
        <w:t>(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>V001</w:t>
      </w:r>
      <w:r>
        <w:rPr>
          <w:rFonts w:asciiTheme="majorHAnsi" w:hAnsiTheme="majorHAnsi" w:cstheme="majorHAnsi"/>
          <w:bCs/>
          <w:noProof/>
          <w:sz w:val="22"/>
          <w:szCs w:val="22"/>
        </w:rPr>
        <w:t>) iznos</w:t>
      </w:r>
      <w:r w:rsidR="003139EF">
        <w:rPr>
          <w:rFonts w:asciiTheme="majorHAnsi" w:hAnsiTheme="majorHAnsi" w:cstheme="majorHAnsi"/>
          <w:bCs/>
          <w:noProof/>
          <w:sz w:val="22"/>
          <w:szCs w:val="22"/>
        </w:rPr>
        <w:t>i</w:t>
      </w:r>
      <w:r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7240B9">
        <w:rPr>
          <w:rFonts w:asciiTheme="majorHAnsi" w:hAnsiTheme="majorHAnsi" w:cstheme="majorHAnsi"/>
          <w:bCs/>
          <w:noProof/>
          <w:sz w:val="22"/>
          <w:szCs w:val="22"/>
        </w:rPr>
        <w:t>524.343.579,86</w:t>
      </w:r>
      <w:r>
        <w:rPr>
          <w:rFonts w:asciiTheme="majorHAnsi" w:hAnsiTheme="majorHAnsi" w:cstheme="majorHAnsi"/>
          <w:bCs/>
          <w:noProof/>
          <w:sz w:val="22"/>
          <w:szCs w:val="22"/>
        </w:rPr>
        <w:t xml:space="preserve"> EUR</w:t>
      </w:r>
      <w:r w:rsidR="007240B9">
        <w:rPr>
          <w:rFonts w:asciiTheme="majorHAnsi" w:hAnsiTheme="majorHAnsi" w:cstheme="majorHAnsi"/>
          <w:bCs/>
          <w:noProof/>
          <w:sz w:val="22"/>
          <w:szCs w:val="22"/>
        </w:rPr>
        <w:t xml:space="preserve">, povećanje obveza u izvještajnom razdoblju </w:t>
      </w:r>
      <w:r w:rsidR="00B37D11">
        <w:rPr>
          <w:rFonts w:asciiTheme="majorHAnsi" w:hAnsiTheme="majorHAnsi" w:cstheme="majorHAnsi"/>
          <w:bCs/>
          <w:noProof/>
          <w:sz w:val="22"/>
          <w:szCs w:val="22"/>
        </w:rPr>
        <w:t>(</w:t>
      </w:r>
      <w:r w:rsidR="00B37D11" w:rsidRPr="003D6E19">
        <w:rPr>
          <w:rFonts w:asciiTheme="majorHAnsi" w:hAnsiTheme="majorHAnsi" w:cstheme="majorHAnsi"/>
          <w:bCs/>
          <w:noProof/>
          <w:sz w:val="22"/>
          <w:szCs w:val="22"/>
        </w:rPr>
        <w:t>V002</w:t>
      </w:r>
      <w:r w:rsidR="00B37D11">
        <w:rPr>
          <w:rFonts w:asciiTheme="majorHAnsi" w:hAnsiTheme="majorHAnsi" w:cstheme="majorHAnsi"/>
          <w:bCs/>
          <w:noProof/>
          <w:sz w:val="22"/>
          <w:szCs w:val="22"/>
        </w:rPr>
        <w:t>)</w:t>
      </w:r>
      <w:r w:rsidR="00B37D11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>iznos</w:t>
      </w:r>
      <w:r>
        <w:rPr>
          <w:rFonts w:asciiTheme="majorHAnsi" w:hAnsiTheme="majorHAnsi" w:cstheme="majorHAnsi"/>
          <w:bCs/>
          <w:noProof/>
          <w:sz w:val="22"/>
          <w:szCs w:val="22"/>
        </w:rPr>
        <w:t>i 1</w:t>
      </w:r>
      <w:r w:rsidR="007240B9">
        <w:rPr>
          <w:rFonts w:asciiTheme="majorHAnsi" w:hAnsiTheme="majorHAnsi" w:cstheme="majorHAnsi"/>
          <w:bCs/>
          <w:noProof/>
          <w:sz w:val="22"/>
          <w:szCs w:val="22"/>
        </w:rPr>
        <w:t>04</w:t>
      </w:r>
      <w:r>
        <w:rPr>
          <w:rFonts w:asciiTheme="majorHAnsi" w:hAnsiTheme="majorHAnsi" w:cstheme="majorHAnsi"/>
          <w:bCs/>
          <w:noProof/>
          <w:sz w:val="22"/>
          <w:szCs w:val="22"/>
        </w:rPr>
        <w:t>.</w:t>
      </w:r>
      <w:r w:rsidR="007240B9">
        <w:rPr>
          <w:rFonts w:asciiTheme="majorHAnsi" w:hAnsiTheme="majorHAnsi" w:cstheme="majorHAnsi"/>
          <w:bCs/>
          <w:noProof/>
          <w:sz w:val="22"/>
          <w:szCs w:val="22"/>
        </w:rPr>
        <w:t>555.469,47</w:t>
      </w:r>
      <w:r>
        <w:rPr>
          <w:rFonts w:asciiTheme="majorHAnsi" w:hAnsiTheme="majorHAnsi" w:cstheme="majorHAnsi"/>
          <w:bCs/>
          <w:noProof/>
          <w:sz w:val="22"/>
          <w:szCs w:val="22"/>
        </w:rPr>
        <w:t xml:space="preserve"> EUR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, </w:t>
      </w:r>
      <w:r w:rsidR="00B37D11">
        <w:rPr>
          <w:rFonts w:asciiTheme="majorHAnsi" w:hAnsiTheme="majorHAnsi" w:cstheme="majorHAnsi"/>
          <w:bCs/>
          <w:noProof/>
          <w:sz w:val="22"/>
          <w:szCs w:val="22"/>
        </w:rPr>
        <w:t xml:space="preserve">dok 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>podmiren</w:t>
      </w:r>
      <w:r>
        <w:rPr>
          <w:rFonts w:asciiTheme="majorHAnsi" w:hAnsiTheme="majorHAnsi" w:cstheme="majorHAnsi"/>
          <w:bCs/>
          <w:noProof/>
          <w:sz w:val="22"/>
          <w:szCs w:val="22"/>
        </w:rPr>
        <w:t>e obveze u izvještajnom razdoblju (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>V004</w:t>
      </w:r>
      <w:r>
        <w:rPr>
          <w:rFonts w:asciiTheme="majorHAnsi" w:hAnsiTheme="majorHAnsi" w:cstheme="majorHAnsi"/>
          <w:bCs/>
          <w:noProof/>
          <w:sz w:val="22"/>
          <w:szCs w:val="22"/>
        </w:rPr>
        <w:t>)</w:t>
      </w:r>
      <w:r w:rsidR="00524D35" w:rsidRPr="003D6E19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B37D11">
        <w:rPr>
          <w:rFonts w:asciiTheme="majorHAnsi" w:hAnsiTheme="majorHAnsi" w:cstheme="majorHAnsi"/>
          <w:bCs/>
          <w:noProof/>
          <w:sz w:val="22"/>
          <w:szCs w:val="22"/>
        </w:rPr>
        <w:t xml:space="preserve">iznose </w:t>
      </w:r>
      <w:r w:rsidR="007240B9">
        <w:rPr>
          <w:rFonts w:asciiTheme="majorHAnsi" w:hAnsiTheme="majorHAnsi" w:cstheme="majorHAnsi"/>
          <w:bCs/>
          <w:noProof/>
          <w:sz w:val="22"/>
          <w:szCs w:val="22"/>
        </w:rPr>
        <w:t>67.964.355,86</w:t>
      </w:r>
      <w:r w:rsidR="00AB2A17">
        <w:rPr>
          <w:rFonts w:asciiTheme="majorHAnsi" w:hAnsiTheme="majorHAnsi" w:cstheme="majorHAnsi"/>
          <w:bCs/>
          <w:noProof/>
          <w:sz w:val="22"/>
          <w:szCs w:val="22"/>
        </w:rPr>
        <w:t xml:space="preserve"> EUR.</w:t>
      </w:r>
    </w:p>
    <w:p w14:paraId="15D4022B" w14:textId="43F48308" w:rsidR="00524D35" w:rsidRDefault="00524D35" w:rsidP="001149D4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color w:val="auto"/>
          <w:sz w:val="22"/>
          <w:szCs w:val="22"/>
        </w:rPr>
      </w:pPr>
      <w:r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Stanje obveza na kraju izvještajnog razdoblja </w:t>
      </w:r>
      <w:r w:rsidR="00C8171D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(</w:t>
      </w:r>
      <w:r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V006</w:t>
      </w:r>
      <w:r w:rsidR="00C8171D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)</w:t>
      </w:r>
      <w:r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iznosi  </w:t>
      </w:r>
      <w:r w:rsidR="00E96404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560.934.693,47</w:t>
      </w:r>
      <w:r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EUR </w:t>
      </w:r>
      <w:r w:rsidR="00B37D11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od čega </w:t>
      </w:r>
      <w:r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nema dospjelih</w:t>
      </w:r>
      <w:r w:rsidR="00AB2A17" w:rsidRPr="00AB2A1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.</w:t>
      </w:r>
    </w:p>
    <w:p w14:paraId="668EC12D" w14:textId="194A416D" w:rsidR="005340DA" w:rsidRPr="00F654F7" w:rsidRDefault="00F73678" w:rsidP="00F73678">
      <w:pPr>
        <w:pStyle w:val="Default"/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noProof/>
          <w:color w:val="auto"/>
          <w:sz w:val="22"/>
          <w:szCs w:val="22"/>
        </w:rPr>
      </w:pPr>
      <w:r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Iste se sastoje Međusobnih obveza subjekata općeg proračuna (V010) u iznosu od 41.616.798,05 EUR, obveza za rashode poslovanja (ND23) u iznosu od 1.564.516,67 EUR  i </w:t>
      </w:r>
      <w:r w:rsidR="001149D4" w:rsidRPr="001149D4">
        <w:rPr>
          <w:rFonts w:asciiTheme="majorHAnsi" w:hAnsiTheme="majorHAnsi" w:cstheme="majorHAnsi"/>
          <w:bCs/>
          <w:noProof/>
          <w:sz w:val="22"/>
          <w:szCs w:val="22"/>
        </w:rPr>
        <w:t>obvez</w:t>
      </w:r>
      <w:r w:rsidR="003139EF">
        <w:rPr>
          <w:rFonts w:asciiTheme="majorHAnsi" w:hAnsiTheme="majorHAnsi" w:cstheme="majorHAnsi"/>
          <w:bCs/>
          <w:noProof/>
          <w:sz w:val="22"/>
          <w:szCs w:val="22"/>
        </w:rPr>
        <w:t>a</w:t>
      </w:r>
      <w:r w:rsidR="001149D4" w:rsidRPr="001149D4">
        <w:rPr>
          <w:rFonts w:asciiTheme="majorHAnsi" w:hAnsiTheme="majorHAnsi" w:cstheme="majorHAnsi"/>
          <w:bCs/>
          <w:noProof/>
          <w:sz w:val="22"/>
          <w:szCs w:val="22"/>
        </w:rPr>
        <w:t xml:space="preserve"> za financijsku imovinu (N dio 25,26)</w:t>
      </w:r>
      <w:r w:rsidR="00E96404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3139EF">
        <w:rPr>
          <w:rFonts w:asciiTheme="majorHAnsi" w:hAnsiTheme="majorHAnsi" w:cstheme="majorHAnsi"/>
          <w:bCs/>
          <w:noProof/>
          <w:sz w:val="22"/>
          <w:szCs w:val="22"/>
        </w:rPr>
        <w:t>u</w:t>
      </w:r>
      <w:r w:rsidR="001149D4" w:rsidRPr="001149D4">
        <w:rPr>
          <w:rFonts w:asciiTheme="majorHAnsi" w:hAnsiTheme="majorHAnsi" w:cstheme="majorHAnsi"/>
          <w:bCs/>
          <w:noProof/>
          <w:sz w:val="22"/>
          <w:szCs w:val="22"/>
        </w:rPr>
        <w:t xml:space="preserve"> iznos</w:t>
      </w:r>
      <w:r w:rsidR="003139EF">
        <w:rPr>
          <w:rFonts w:asciiTheme="majorHAnsi" w:hAnsiTheme="majorHAnsi" w:cstheme="majorHAnsi"/>
          <w:bCs/>
          <w:noProof/>
          <w:sz w:val="22"/>
          <w:szCs w:val="22"/>
        </w:rPr>
        <w:t>u</w:t>
      </w:r>
      <w:r w:rsidR="001149D4" w:rsidRPr="001149D4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E96404">
        <w:rPr>
          <w:rFonts w:asciiTheme="majorHAnsi" w:hAnsiTheme="majorHAnsi" w:cstheme="majorHAnsi"/>
          <w:bCs/>
          <w:noProof/>
          <w:sz w:val="22"/>
          <w:szCs w:val="22"/>
        </w:rPr>
        <w:t xml:space="preserve">40.367.572,02 </w:t>
      </w:r>
      <w:r w:rsidR="00D67E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EUR</w:t>
      </w:r>
      <w:r w:rsidR="001149D4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.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Iste se odnose na</w:t>
      </w:r>
      <w:r w:rsidR="00522663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provedbu </w:t>
      </w:r>
      <w:r w:rsidR="005340D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F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inancijsk</w:t>
      </w:r>
      <w:r w:rsidR="00522663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ih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instumen</w:t>
      </w:r>
      <w:r w:rsidR="00522663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a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t</w:t>
      </w:r>
      <w:r w:rsidR="00522663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a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</w:t>
      </w:r>
      <w:r w:rsidR="00522663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 </w:t>
      </w:r>
      <w:r w:rsidR="0031564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iz različitih EU izvora</w:t>
      </w:r>
      <w:r w:rsidR="005340D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. Prema  </w:t>
      </w:r>
      <w:r w:rsidR="005340DA" w:rsidRPr="005340DA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uputi </w:t>
      </w:r>
      <w:r w:rsidR="005340D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od 29. prosinca 2022.  „Knjigovodstvene eviden</w:t>
      </w:r>
      <w:r w:rsidR="00DB1171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>c</w:t>
      </w:r>
      <w:r w:rsidR="005340DA" w:rsidRPr="00F654F7">
        <w:rPr>
          <w:rFonts w:asciiTheme="majorHAnsi" w:hAnsiTheme="majorHAnsi" w:cstheme="majorHAnsi"/>
          <w:bCs/>
          <w:noProof/>
          <w:color w:val="auto"/>
          <w:sz w:val="22"/>
          <w:szCs w:val="22"/>
        </w:rPr>
        <w:t xml:space="preserve">ije provedbe EU financijskih instumenata za razdoblje do 31. prosinca 2019. godine“ evidentirali smo na kontu 26142 Obveze za kredite i zajmove od institucija i tijela EU – dugoročne. </w:t>
      </w:r>
    </w:p>
    <w:p w14:paraId="36B7C447" w14:textId="77777777" w:rsidR="002465CD" w:rsidRDefault="002465CD" w:rsidP="00CA0D8C">
      <w:pPr>
        <w:spacing w:line="276" w:lineRule="auto"/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4DCAFEED" w14:textId="77777777" w:rsidR="002465CD" w:rsidRDefault="002465CD" w:rsidP="00CA0D8C">
      <w:pPr>
        <w:spacing w:line="276" w:lineRule="auto"/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20663E1C" w14:textId="77777777" w:rsidR="002465CD" w:rsidRDefault="002465CD" w:rsidP="00CA0D8C">
      <w:pPr>
        <w:spacing w:line="276" w:lineRule="auto"/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200E9415" w14:textId="77777777" w:rsidR="002465CD" w:rsidRDefault="002465CD" w:rsidP="00CA0D8C">
      <w:pPr>
        <w:spacing w:line="276" w:lineRule="auto"/>
        <w:jc w:val="right"/>
        <w:rPr>
          <w:rFonts w:asciiTheme="majorHAnsi" w:eastAsia="Times New Roman" w:hAnsiTheme="majorHAnsi" w:cstheme="majorHAnsi"/>
          <w:noProof/>
          <w:color w:val="000000" w:themeColor="text1"/>
          <w:lang w:val="hr-HR" w:eastAsia="hr-HR"/>
        </w:rPr>
      </w:pPr>
    </w:p>
    <w:p w14:paraId="1DC461CC" w14:textId="3A0EB2DC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  <w:r w:rsidRPr="0037165F">
        <w:rPr>
          <w:rFonts w:asciiTheme="majorHAnsi" w:hAnsiTheme="majorHAnsi" w:cstheme="majorHAnsi"/>
        </w:rPr>
        <w:t xml:space="preserve">  </w:t>
      </w:r>
      <w:proofErr w:type="spellStart"/>
      <w:r w:rsidR="008E0A59">
        <w:rPr>
          <w:rFonts w:asciiTheme="majorHAnsi" w:hAnsiTheme="majorHAnsi" w:cstheme="majorHAnsi"/>
        </w:rPr>
        <w:t>Zamjenik</w:t>
      </w:r>
      <w:proofErr w:type="spellEnd"/>
      <w:r w:rsidR="008E0A59">
        <w:rPr>
          <w:rFonts w:asciiTheme="majorHAnsi" w:hAnsiTheme="majorHAnsi" w:cstheme="majorHAnsi"/>
        </w:rPr>
        <w:t xml:space="preserve"> </w:t>
      </w:r>
      <w:proofErr w:type="spellStart"/>
      <w:r w:rsidR="008E0A59">
        <w:rPr>
          <w:rFonts w:asciiTheme="majorHAnsi" w:hAnsiTheme="majorHAnsi" w:cstheme="majorHAnsi"/>
        </w:rPr>
        <w:t>predsjednika</w:t>
      </w:r>
      <w:proofErr w:type="spellEnd"/>
      <w:r w:rsidR="008E0A59">
        <w:rPr>
          <w:rFonts w:asciiTheme="majorHAnsi" w:hAnsiTheme="majorHAnsi" w:cstheme="majorHAnsi"/>
        </w:rPr>
        <w:t xml:space="preserve"> </w:t>
      </w:r>
      <w:proofErr w:type="spellStart"/>
      <w:r w:rsidR="008E0A59">
        <w:rPr>
          <w:rFonts w:asciiTheme="majorHAnsi" w:hAnsiTheme="majorHAnsi" w:cstheme="majorHAnsi"/>
        </w:rPr>
        <w:t>uprave</w:t>
      </w:r>
      <w:proofErr w:type="spellEnd"/>
      <w:r w:rsidR="008E0A59">
        <w:rPr>
          <w:rFonts w:asciiTheme="majorHAnsi" w:hAnsiTheme="majorHAnsi" w:cstheme="majorHAnsi"/>
        </w:rPr>
        <w:t xml:space="preserve">                                                                             </w:t>
      </w:r>
      <w:proofErr w:type="spellStart"/>
      <w:r w:rsidR="008E0A59">
        <w:rPr>
          <w:rFonts w:asciiTheme="majorHAnsi" w:hAnsiTheme="majorHAnsi" w:cstheme="majorHAnsi"/>
        </w:rPr>
        <w:t>Predsjednik</w:t>
      </w:r>
      <w:proofErr w:type="spellEnd"/>
      <w:r w:rsidR="008E0A59">
        <w:rPr>
          <w:rFonts w:asciiTheme="majorHAnsi" w:hAnsiTheme="majorHAnsi" w:cstheme="majorHAnsi"/>
        </w:rPr>
        <w:t xml:space="preserve"> </w:t>
      </w:r>
      <w:proofErr w:type="spellStart"/>
      <w:r w:rsidR="008E0A59">
        <w:rPr>
          <w:rFonts w:asciiTheme="majorHAnsi" w:hAnsiTheme="majorHAnsi" w:cstheme="majorHAnsi"/>
        </w:rPr>
        <w:t>uprave</w:t>
      </w:r>
      <w:proofErr w:type="spellEnd"/>
    </w:p>
    <w:p w14:paraId="430C388A" w14:textId="11E8898E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</w:p>
    <w:p w14:paraId="6151B106" w14:textId="77777777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</w:p>
    <w:p w14:paraId="465F50CF" w14:textId="77777777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</w:p>
    <w:p w14:paraId="6D86761F" w14:textId="162D4B74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  <w:r w:rsidRPr="0037165F">
        <w:rPr>
          <w:rFonts w:asciiTheme="majorHAnsi" w:hAnsiTheme="majorHAnsi" w:cstheme="majorHAnsi"/>
        </w:rPr>
        <w:t xml:space="preserve">          Ante-Janko Bobetko                                                                                              Vjeran Vrbanec</w:t>
      </w:r>
    </w:p>
    <w:p w14:paraId="3CC3753E" w14:textId="5A6E875C" w:rsidR="0037165F" w:rsidRPr="0037165F" w:rsidRDefault="0037165F" w:rsidP="0037165F">
      <w:pPr>
        <w:jc w:val="both"/>
        <w:rPr>
          <w:rFonts w:asciiTheme="majorHAnsi" w:hAnsiTheme="majorHAnsi" w:cstheme="majorHAnsi"/>
        </w:rPr>
      </w:pPr>
    </w:p>
    <w:p w14:paraId="32751237" w14:textId="2872FAD0" w:rsidR="0087204D" w:rsidRPr="00636AA0" w:rsidRDefault="0087204D" w:rsidP="0087204D">
      <w:pPr>
        <w:pStyle w:val="Default"/>
        <w:shd w:val="clear" w:color="auto" w:fill="FFFFFF"/>
        <w:spacing w:line="276" w:lineRule="auto"/>
        <w:jc w:val="right"/>
        <w:rPr>
          <w:bCs/>
          <w:noProof/>
          <w:color w:val="auto"/>
          <w:sz w:val="22"/>
          <w:szCs w:val="22"/>
        </w:rPr>
      </w:pPr>
    </w:p>
    <w:sectPr w:rsidR="0087204D" w:rsidRPr="00636AA0" w:rsidSect="00F978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6F48" w14:textId="77777777" w:rsidR="00193694" w:rsidRDefault="00193694" w:rsidP="00B7622A">
      <w:r>
        <w:separator/>
      </w:r>
    </w:p>
  </w:endnote>
  <w:endnote w:type="continuationSeparator" w:id="0">
    <w:p w14:paraId="40E02F6B" w14:textId="77777777" w:rsidR="00193694" w:rsidRDefault="00193694" w:rsidP="00B7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4A9" w14:textId="77777777" w:rsidR="000D1D2E" w:rsidRPr="000D1D2E" w:rsidRDefault="00273F3D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color w:val="333333"/>
        <w:sz w:val="18"/>
        <w:szCs w:val="18"/>
      </w:rPr>
    </w:pPr>
    <w:r>
      <w:rPr>
        <w:rFonts w:ascii="Optima-Regular" w:hAnsi="Optima-Regular" w:cs="Optima-Regular"/>
        <w:noProof/>
        <w:color w:val="333333"/>
        <w:sz w:val="18"/>
        <w:szCs w:val="18"/>
      </w:rPr>
      <w:t>Ksaver 208</w:t>
    </w:r>
    <w:r w:rsidR="000D1D2E" w:rsidRPr="000D1D2E">
      <w:rPr>
        <w:rFonts w:ascii="Optima-Regular" w:hAnsi="Optima-Regular" w:cs="Optima-Regular"/>
        <w:noProof/>
        <w:color w:val="333333"/>
        <w:sz w:val="18"/>
        <w:szCs w:val="18"/>
      </w:rPr>
      <w:t>, 10000 Zagreb, Hrvatska</w:t>
    </w:r>
  </w:p>
  <w:p w14:paraId="3F5B2056" w14:textId="77777777" w:rsidR="00B7622A" w:rsidRDefault="000D1D2E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color w:val="333333"/>
        <w:sz w:val="18"/>
        <w:szCs w:val="18"/>
      </w:rPr>
    </w:pPr>
    <w:r w:rsidRPr="000D1D2E">
      <w:rPr>
        <w:rFonts w:ascii="Optima-Regular" w:hAnsi="Optima-Regular" w:cs="Optima-Regular"/>
        <w:noProof/>
        <w:color w:val="333333"/>
        <w:sz w:val="18"/>
        <w:szCs w:val="18"/>
      </w:rPr>
      <w:t>tel: +385 1 488 1003, + 385 1 488 1000, fax: +385 1 488 1009</w:t>
    </w:r>
  </w:p>
  <w:p w14:paraId="25F44E06" w14:textId="77777777" w:rsidR="004D0D90" w:rsidRPr="00D7315D" w:rsidRDefault="001000E3" w:rsidP="004D0D90">
    <w:pPr>
      <w:autoSpaceDE w:val="0"/>
      <w:autoSpaceDN w:val="0"/>
      <w:adjustRightInd w:val="0"/>
      <w:jc w:val="center"/>
      <w:rPr>
        <w:rFonts w:ascii="Optima-Regular" w:hAnsi="Optima-Regular" w:cs="Optima-Regular"/>
        <w:noProof/>
        <w:sz w:val="18"/>
        <w:szCs w:val="18"/>
        <w:lang w:val="pt-BR"/>
      </w:rPr>
    </w:pPr>
    <w:r w:rsidRPr="00D7315D">
      <w:rPr>
        <w:rFonts w:ascii="Optima-Regular" w:hAnsi="Optima-Regular" w:cs="Optima-Regular"/>
        <w:noProof/>
        <w:sz w:val="18"/>
        <w:szCs w:val="18"/>
        <w:lang w:val="pt-BR"/>
      </w:rPr>
      <w:t xml:space="preserve">e-mail: </w:t>
    </w:r>
    <w:hyperlink r:id="rId1" w:history="1">
      <w:r w:rsidRPr="00D7315D">
        <w:rPr>
          <w:rStyle w:val="Hyperlink"/>
          <w:rFonts w:ascii="Optima-Regular" w:hAnsi="Optima-Regular" w:cs="Optima-Regular"/>
          <w:noProof/>
          <w:sz w:val="18"/>
          <w:szCs w:val="18"/>
          <w:lang w:val="pt-BR"/>
        </w:rPr>
        <w:t>hamagbicro@hamagbicro.hr</w:t>
      </w:r>
    </w:hyperlink>
    <w:r w:rsidRPr="00D7315D">
      <w:rPr>
        <w:rFonts w:ascii="Optima-Regular" w:hAnsi="Optima-Regular" w:cs="Optima-Regular"/>
        <w:noProof/>
        <w:sz w:val="18"/>
        <w:szCs w:val="18"/>
        <w:lang w:val="pt-BR"/>
      </w:rPr>
      <w:t xml:space="preserve">; </w:t>
    </w:r>
    <w:hyperlink r:id="rId2" w:history="1">
      <w:r w:rsidRPr="00D7315D">
        <w:rPr>
          <w:rStyle w:val="Hyperlink"/>
          <w:rFonts w:ascii="Optima-Regular" w:hAnsi="Optima-Regular" w:cs="Optima-Regular"/>
          <w:noProof/>
          <w:sz w:val="18"/>
          <w:szCs w:val="18"/>
          <w:lang w:val="pt-BR"/>
        </w:rPr>
        <w:t>www.hamagbicro.hr</w:t>
      </w:r>
    </w:hyperlink>
    <w:r w:rsidR="004D0D90" w:rsidRPr="00D7315D">
      <w:rPr>
        <w:rFonts w:ascii="Optima-Regular" w:hAnsi="Optima-Regular" w:cs="Optima-Regular"/>
        <w:noProof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1523" w14:textId="77777777" w:rsidR="00193694" w:rsidRDefault="00193694" w:rsidP="00B7622A">
      <w:r>
        <w:separator/>
      </w:r>
    </w:p>
  </w:footnote>
  <w:footnote w:type="continuationSeparator" w:id="0">
    <w:p w14:paraId="3D5F587E" w14:textId="77777777" w:rsidR="00193694" w:rsidRDefault="00193694" w:rsidP="00B7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5420" w14:textId="27236340" w:rsidR="000900F5" w:rsidRDefault="00040045" w:rsidP="008760EB">
    <w:pPr>
      <w:pStyle w:val="Header"/>
      <w:jc w:val="center"/>
    </w:pPr>
    <w:r w:rsidRPr="002C4C45">
      <w:rPr>
        <w:noProof/>
      </w:rPr>
      <w:drawing>
        <wp:inline distT="0" distB="0" distL="0" distR="0" wp14:anchorId="1A0F7C42" wp14:editId="5F1EA6AC">
          <wp:extent cx="2247900" cy="466725"/>
          <wp:effectExtent l="0" t="0" r="0" b="0"/>
          <wp:docPr id="1" name="Picture 1" descr="HAMAG-Bicr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AG-Bicr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AA"/>
    <w:multiLevelType w:val="hybridMultilevel"/>
    <w:tmpl w:val="3D2AD470"/>
    <w:lvl w:ilvl="0" w:tplc="0688E21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25EE0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7F1"/>
    <w:multiLevelType w:val="hybridMultilevel"/>
    <w:tmpl w:val="78D4C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5239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152A0F"/>
    <w:multiLevelType w:val="hybridMultilevel"/>
    <w:tmpl w:val="E63AF390"/>
    <w:lvl w:ilvl="0" w:tplc="DF7E700C">
      <w:start w:val="26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4DBA"/>
    <w:multiLevelType w:val="hybridMultilevel"/>
    <w:tmpl w:val="382C5008"/>
    <w:lvl w:ilvl="0" w:tplc="83CA4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637F"/>
    <w:multiLevelType w:val="hybridMultilevel"/>
    <w:tmpl w:val="75465C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24AAA"/>
    <w:multiLevelType w:val="hybridMultilevel"/>
    <w:tmpl w:val="194E4748"/>
    <w:lvl w:ilvl="0" w:tplc="257A0248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5D53656"/>
    <w:multiLevelType w:val="multilevel"/>
    <w:tmpl w:val="743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1F1524"/>
    <w:multiLevelType w:val="hybridMultilevel"/>
    <w:tmpl w:val="9968C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374F4"/>
    <w:multiLevelType w:val="hybridMultilevel"/>
    <w:tmpl w:val="14A8BAAA"/>
    <w:lvl w:ilvl="0" w:tplc="C5722D74">
      <w:numFmt w:val="bullet"/>
      <w:lvlText w:val="-"/>
      <w:lvlJc w:val="left"/>
      <w:pPr>
        <w:ind w:left="121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17A5F2A"/>
    <w:multiLevelType w:val="hybridMultilevel"/>
    <w:tmpl w:val="308E0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63436"/>
    <w:multiLevelType w:val="hybridMultilevel"/>
    <w:tmpl w:val="EC1A6A44"/>
    <w:lvl w:ilvl="0" w:tplc="E2601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97598"/>
    <w:multiLevelType w:val="multilevel"/>
    <w:tmpl w:val="531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C17A7F"/>
    <w:multiLevelType w:val="hybridMultilevel"/>
    <w:tmpl w:val="B2B41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123B1"/>
    <w:multiLevelType w:val="hybridMultilevel"/>
    <w:tmpl w:val="CC6CD2BC"/>
    <w:lvl w:ilvl="0" w:tplc="344E15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650">
    <w:abstractNumId w:val="10"/>
  </w:num>
  <w:num w:numId="2" w16cid:durableId="1914463625">
    <w:abstractNumId w:val="6"/>
  </w:num>
  <w:num w:numId="3" w16cid:durableId="61081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777321">
    <w:abstractNumId w:val="8"/>
  </w:num>
  <w:num w:numId="5" w16cid:durableId="2073237819">
    <w:abstractNumId w:val="13"/>
  </w:num>
  <w:num w:numId="6" w16cid:durableId="275526878">
    <w:abstractNumId w:val="15"/>
  </w:num>
  <w:num w:numId="7" w16cid:durableId="649821457">
    <w:abstractNumId w:val="0"/>
  </w:num>
  <w:num w:numId="8" w16cid:durableId="570310943">
    <w:abstractNumId w:val="1"/>
  </w:num>
  <w:num w:numId="9" w16cid:durableId="1064183669">
    <w:abstractNumId w:val="4"/>
  </w:num>
  <w:num w:numId="10" w16cid:durableId="1275938751">
    <w:abstractNumId w:val="3"/>
  </w:num>
  <w:num w:numId="11" w16cid:durableId="545532421">
    <w:abstractNumId w:val="11"/>
  </w:num>
  <w:num w:numId="12" w16cid:durableId="1791630536">
    <w:abstractNumId w:val="9"/>
  </w:num>
  <w:num w:numId="13" w16cid:durableId="75564270">
    <w:abstractNumId w:val="2"/>
  </w:num>
  <w:num w:numId="14" w16cid:durableId="906190397">
    <w:abstractNumId w:val="14"/>
  </w:num>
  <w:num w:numId="15" w16cid:durableId="752750343">
    <w:abstractNumId w:val="12"/>
  </w:num>
  <w:num w:numId="16" w16cid:durableId="1204711761">
    <w:abstractNumId w:val="5"/>
  </w:num>
  <w:num w:numId="17" w16cid:durableId="119950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A"/>
    <w:rsid w:val="00000758"/>
    <w:rsid w:val="00000D74"/>
    <w:rsid w:val="00002DAC"/>
    <w:rsid w:val="00005BD2"/>
    <w:rsid w:val="00007152"/>
    <w:rsid w:val="00010C9E"/>
    <w:rsid w:val="0001261F"/>
    <w:rsid w:val="00014A1E"/>
    <w:rsid w:val="00014FD1"/>
    <w:rsid w:val="00022C24"/>
    <w:rsid w:val="0002572B"/>
    <w:rsid w:val="0003015C"/>
    <w:rsid w:val="00030973"/>
    <w:rsid w:val="00033BBE"/>
    <w:rsid w:val="00037B5F"/>
    <w:rsid w:val="00040045"/>
    <w:rsid w:val="000419E8"/>
    <w:rsid w:val="00044C29"/>
    <w:rsid w:val="00047359"/>
    <w:rsid w:val="00057F09"/>
    <w:rsid w:val="00062F89"/>
    <w:rsid w:val="0006539B"/>
    <w:rsid w:val="00067931"/>
    <w:rsid w:val="000726BD"/>
    <w:rsid w:val="00072915"/>
    <w:rsid w:val="00073E46"/>
    <w:rsid w:val="000813FE"/>
    <w:rsid w:val="00083AB0"/>
    <w:rsid w:val="00083F63"/>
    <w:rsid w:val="000900F5"/>
    <w:rsid w:val="000902F3"/>
    <w:rsid w:val="00092C86"/>
    <w:rsid w:val="000A0444"/>
    <w:rsid w:val="000A0ABC"/>
    <w:rsid w:val="000A0DA6"/>
    <w:rsid w:val="000A2230"/>
    <w:rsid w:val="000A26AA"/>
    <w:rsid w:val="000A2AD3"/>
    <w:rsid w:val="000A6595"/>
    <w:rsid w:val="000A700B"/>
    <w:rsid w:val="000B122D"/>
    <w:rsid w:val="000B4472"/>
    <w:rsid w:val="000B4E64"/>
    <w:rsid w:val="000B608F"/>
    <w:rsid w:val="000B629D"/>
    <w:rsid w:val="000B743A"/>
    <w:rsid w:val="000C10CC"/>
    <w:rsid w:val="000C6D04"/>
    <w:rsid w:val="000C6DBD"/>
    <w:rsid w:val="000D1D2E"/>
    <w:rsid w:val="000D2289"/>
    <w:rsid w:val="000D3E6E"/>
    <w:rsid w:val="000D4A96"/>
    <w:rsid w:val="000E0A79"/>
    <w:rsid w:val="000E2819"/>
    <w:rsid w:val="000E3B6E"/>
    <w:rsid w:val="000E3F12"/>
    <w:rsid w:val="000E4841"/>
    <w:rsid w:val="000E544A"/>
    <w:rsid w:val="000E607E"/>
    <w:rsid w:val="000E751D"/>
    <w:rsid w:val="000F6CB4"/>
    <w:rsid w:val="000F7DAC"/>
    <w:rsid w:val="001000E3"/>
    <w:rsid w:val="00101EBB"/>
    <w:rsid w:val="001036D8"/>
    <w:rsid w:val="00104A5A"/>
    <w:rsid w:val="00105F7E"/>
    <w:rsid w:val="001139FA"/>
    <w:rsid w:val="001143FD"/>
    <w:rsid w:val="001149D4"/>
    <w:rsid w:val="001154E6"/>
    <w:rsid w:val="001165A5"/>
    <w:rsid w:val="00117D87"/>
    <w:rsid w:val="00120093"/>
    <w:rsid w:val="0012193A"/>
    <w:rsid w:val="0012389E"/>
    <w:rsid w:val="00123D3A"/>
    <w:rsid w:val="00125DED"/>
    <w:rsid w:val="00127F98"/>
    <w:rsid w:val="001318D9"/>
    <w:rsid w:val="00134008"/>
    <w:rsid w:val="001378C9"/>
    <w:rsid w:val="00140295"/>
    <w:rsid w:val="001408A9"/>
    <w:rsid w:val="00141D63"/>
    <w:rsid w:val="001438DD"/>
    <w:rsid w:val="00146DDA"/>
    <w:rsid w:val="00151577"/>
    <w:rsid w:val="0015568C"/>
    <w:rsid w:val="001556A0"/>
    <w:rsid w:val="001560DF"/>
    <w:rsid w:val="00156BFE"/>
    <w:rsid w:val="00156C0D"/>
    <w:rsid w:val="0015700D"/>
    <w:rsid w:val="00161415"/>
    <w:rsid w:val="00162257"/>
    <w:rsid w:val="00172C79"/>
    <w:rsid w:val="001730BC"/>
    <w:rsid w:val="0017370C"/>
    <w:rsid w:val="001753E7"/>
    <w:rsid w:val="00176B2A"/>
    <w:rsid w:val="00185AE4"/>
    <w:rsid w:val="00185E81"/>
    <w:rsid w:val="00192D57"/>
    <w:rsid w:val="00193694"/>
    <w:rsid w:val="0019579B"/>
    <w:rsid w:val="001A0557"/>
    <w:rsid w:val="001A0C54"/>
    <w:rsid w:val="001A122B"/>
    <w:rsid w:val="001A162F"/>
    <w:rsid w:val="001A2B4A"/>
    <w:rsid w:val="001A4953"/>
    <w:rsid w:val="001B3A4C"/>
    <w:rsid w:val="001C0F8D"/>
    <w:rsid w:val="001C1410"/>
    <w:rsid w:val="001C60AC"/>
    <w:rsid w:val="001C7482"/>
    <w:rsid w:val="001D0573"/>
    <w:rsid w:val="001D0AB6"/>
    <w:rsid w:val="001D0AD3"/>
    <w:rsid w:val="001D6CD9"/>
    <w:rsid w:val="001E158C"/>
    <w:rsid w:val="001E2C76"/>
    <w:rsid w:val="001E4F3E"/>
    <w:rsid w:val="001F00F0"/>
    <w:rsid w:val="001F04AA"/>
    <w:rsid w:val="001F6460"/>
    <w:rsid w:val="00202ED1"/>
    <w:rsid w:val="002038F7"/>
    <w:rsid w:val="00206052"/>
    <w:rsid w:val="002119F5"/>
    <w:rsid w:val="0021428A"/>
    <w:rsid w:val="0021494B"/>
    <w:rsid w:val="00215A99"/>
    <w:rsid w:val="002206C5"/>
    <w:rsid w:val="00220767"/>
    <w:rsid w:val="00220A2E"/>
    <w:rsid w:val="00221C3D"/>
    <w:rsid w:val="00222773"/>
    <w:rsid w:val="00223629"/>
    <w:rsid w:val="002239B8"/>
    <w:rsid w:val="0022476D"/>
    <w:rsid w:val="00226592"/>
    <w:rsid w:val="0022748B"/>
    <w:rsid w:val="00232067"/>
    <w:rsid w:val="002332B6"/>
    <w:rsid w:val="002355B2"/>
    <w:rsid w:val="00235CF1"/>
    <w:rsid w:val="00237586"/>
    <w:rsid w:val="00237E77"/>
    <w:rsid w:val="00244AE2"/>
    <w:rsid w:val="0024544B"/>
    <w:rsid w:val="002465CD"/>
    <w:rsid w:val="00254E24"/>
    <w:rsid w:val="002608C0"/>
    <w:rsid w:val="0026253A"/>
    <w:rsid w:val="002635DE"/>
    <w:rsid w:val="0026480A"/>
    <w:rsid w:val="00264C35"/>
    <w:rsid w:val="00267CBD"/>
    <w:rsid w:val="00270347"/>
    <w:rsid w:val="00272B14"/>
    <w:rsid w:val="00273578"/>
    <w:rsid w:val="00273F3D"/>
    <w:rsid w:val="00274BBF"/>
    <w:rsid w:val="0029402F"/>
    <w:rsid w:val="002A4C36"/>
    <w:rsid w:val="002A625C"/>
    <w:rsid w:val="002A6B8F"/>
    <w:rsid w:val="002A7E52"/>
    <w:rsid w:val="002B0EE1"/>
    <w:rsid w:val="002B463E"/>
    <w:rsid w:val="002B52EB"/>
    <w:rsid w:val="002B6C17"/>
    <w:rsid w:val="002B7572"/>
    <w:rsid w:val="002C067D"/>
    <w:rsid w:val="002C1178"/>
    <w:rsid w:val="002C3268"/>
    <w:rsid w:val="002C4C45"/>
    <w:rsid w:val="002D1691"/>
    <w:rsid w:val="002D22F7"/>
    <w:rsid w:val="002D7AE2"/>
    <w:rsid w:val="002E04AC"/>
    <w:rsid w:val="002E1531"/>
    <w:rsid w:val="002E1800"/>
    <w:rsid w:val="002E1BA5"/>
    <w:rsid w:val="002E2841"/>
    <w:rsid w:val="002E6642"/>
    <w:rsid w:val="002E6AD5"/>
    <w:rsid w:val="002E6E9C"/>
    <w:rsid w:val="002F6009"/>
    <w:rsid w:val="002F6991"/>
    <w:rsid w:val="002F7B4D"/>
    <w:rsid w:val="00304D4B"/>
    <w:rsid w:val="00312C49"/>
    <w:rsid w:val="003139EF"/>
    <w:rsid w:val="00314E5B"/>
    <w:rsid w:val="0031564A"/>
    <w:rsid w:val="00317E5B"/>
    <w:rsid w:val="00320359"/>
    <w:rsid w:val="00323DB8"/>
    <w:rsid w:val="003256FF"/>
    <w:rsid w:val="00327981"/>
    <w:rsid w:val="00330833"/>
    <w:rsid w:val="0033084D"/>
    <w:rsid w:val="00332608"/>
    <w:rsid w:val="0033539F"/>
    <w:rsid w:val="00340CF5"/>
    <w:rsid w:val="003410D7"/>
    <w:rsid w:val="0034115E"/>
    <w:rsid w:val="00342238"/>
    <w:rsid w:val="0034656A"/>
    <w:rsid w:val="0034725C"/>
    <w:rsid w:val="00352084"/>
    <w:rsid w:val="00366149"/>
    <w:rsid w:val="00366F46"/>
    <w:rsid w:val="00367B8B"/>
    <w:rsid w:val="0037165F"/>
    <w:rsid w:val="003729F0"/>
    <w:rsid w:val="00373BBF"/>
    <w:rsid w:val="0037533E"/>
    <w:rsid w:val="003803BC"/>
    <w:rsid w:val="00381C0E"/>
    <w:rsid w:val="00381E28"/>
    <w:rsid w:val="00384AC0"/>
    <w:rsid w:val="00387A12"/>
    <w:rsid w:val="00387E68"/>
    <w:rsid w:val="003950B2"/>
    <w:rsid w:val="003951B0"/>
    <w:rsid w:val="0039543F"/>
    <w:rsid w:val="003962F3"/>
    <w:rsid w:val="003969D1"/>
    <w:rsid w:val="003A0791"/>
    <w:rsid w:val="003A17D9"/>
    <w:rsid w:val="003A2CF4"/>
    <w:rsid w:val="003A4941"/>
    <w:rsid w:val="003A5C14"/>
    <w:rsid w:val="003A709B"/>
    <w:rsid w:val="003A7308"/>
    <w:rsid w:val="003B4456"/>
    <w:rsid w:val="003B566D"/>
    <w:rsid w:val="003B63C0"/>
    <w:rsid w:val="003C674F"/>
    <w:rsid w:val="003C6CDD"/>
    <w:rsid w:val="003D02F6"/>
    <w:rsid w:val="003D2976"/>
    <w:rsid w:val="003D3A53"/>
    <w:rsid w:val="003D5542"/>
    <w:rsid w:val="003D7F2D"/>
    <w:rsid w:val="003E2C48"/>
    <w:rsid w:val="003E2F38"/>
    <w:rsid w:val="003E6510"/>
    <w:rsid w:val="003F3FCB"/>
    <w:rsid w:val="003F70A3"/>
    <w:rsid w:val="004005B5"/>
    <w:rsid w:val="00400A96"/>
    <w:rsid w:val="00400E5D"/>
    <w:rsid w:val="00402100"/>
    <w:rsid w:val="004024A8"/>
    <w:rsid w:val="0040300B"/>
    <w:rsid w:val="004045A1"/>
    <w:rsid w:val="004076C3"/>
    <w:rsid w:val="0041168A"/>
    <w:rsid w:val="00412836"/>
    <w:rsid w:val="0041479E"/>
    <w:rsid w:val="00415B0C"/>
    <w:rsid w:val="00416959"/>
    <w:rsid w:val="0041724F"/>
    <w:rsid w:val="00421844"/>
    <w:rsid w:val="00422B7B"/>
    <w:rsid w:val="004241F5"/>
    <w:rsid w:val="004241F8"/>
    <w:rsid w:val="004256A3"/>
    <w:rsid w:val="00426621"/>
    <w:rsid w:val="004267F9"/>
    <w:rsid w:val="0043112C"/>
    <w:rsid w:val="004332C2"/>
    <w:rsid w:val="0043366D"/>
    <w:rsid w:val="004343C7"/>
    <w:rsid w:val="0043747D"/>
    <w:rsid w:val="00440219"/>
    <w:rsid w:val="004407F2"/>
    <w:rsid w:val="0044158D"/>
    <w:rsid w:val="00443E62"/>
    <w:rsid w:val="00444ECB"/>
    <w:rsid w:val="0044529D"/>
    <w:rsid w:val="00445EA6"/>
    <w:rsid w:val="004478AC"/>
    <w:rsid w:val="004508CB"/>
    <w:rsid w:val="0045254B"/>
    <w:rsid w:val="004542BD"/>
    <w:rsid w:val="00454913"/>
    <w:rsid w:val="00460A23"/>
    <w:rsid w:val="004638A7"/>
    <w:rsid w:val="0047624D"/>
    <w:rsid w:val="00476EC2"/>
    <w:rsid w:val="00477376"/>
    <w:rsid w:val="00480B5A"/>
    <w:rsid w:val="00480EA9"/>
    <w:rsid w:val="00484DF2"/>
    <w:rsid w:val="00485746"/>
    <w:rsid w:val="00487088"/>
    <w:rsid w:val="00490B3E"/>
    <w:rsid w:val="00491FF1"/>
    <w:rsid w:val="00493989"/>
    <w:rsid w:val="004952F5"/>
    <w:rsid w:val="004962F3"/>
    <w:rsid w:val="0049681B"/>
    <w:rsid w:val="00496CFB"/>
    <w:rsid w:val="00496E07"/>
    <w:rsid w:val="004A01E5"/>
    <w:rsid w:val="004A64D0"/>
    <w:rsid w:val="004A76D0"/>
    <w:rsid w:val="004B4171"/>
    <w:rsid w:val="004B5C6C"/>
    <w:rsid w:val="004C3F7B"/>
    <w:rsid w:val="004C4D77"/>
    <w:rsid w:val="004C73B4"/>
    <w:rsid w:val="004C73E7"/>
    <w:rsid w:val="004D0506"/>
    <w:rsid w:val="004D071F"/>
    <w:rsid w:val="004D0D90"/>
    <w:rsid w:val="004D1086"/>
    <w:rsid w:val="004D5BB0"/>
    <w:rsid w:val="004E00CC"/>
    <w:rsid w:val="004E52B5"/>
    <w:rsid w:val="004E649A"/>
    <w:rsid w:val="004E6A99"/>
    <w:rsid w:val="004E73E1"/>
    <w:rsid w:val="004F11B8"/>
    <w:rsid w:val="004F3114"/>
    <w:rsid w:val="00501DCF"/>
    <w:rsid w:val="00502D26"/>
    <w:rsid w:val="00502DB6"/>
    <w:rsid w:val="00504392"/>
    <w:rsid w:val="00504E2C"/>
    <w:rsid w:val="0051082C"/>
    <w:rsid w:val="005164AC"/>
    <w:rsid w:val="00516B74"/>
    <w:rsid w:val="00520152"/>
    <w:rsid w:val="0052161E"/>
    <w:rsid w:val="00522663"/>
    <w:rsid w:val="00524D35"/>
    <w:rsid w:val="00530DCE"/>
    <w:rsid w:val="005340DA"/>
    <w:rsid w:val="00534848"/>
    <w:rsid w:val="00534EF6"/>
    <w:rsid w:val="00535BB6"/>
    <w:rsid w:val="00536E2B"/>
    <w:rsid w:val="005403B3"/>
    <w:rsid w:val="0055009D"/>
    <w:rsid w:val="00550C18"/>
    <w:rsid w:val="0055118F"/>
    <w:rsid w:val="0055288F"/>
    <w:rsid w:val="00553C57"/>
    <w:rsid w:val="00556299"/>
    <w:rsid w:val="00560803"/>
    <w:rsid w:val="00561594"/>
    <w:rsid w:val="005619BB"/>
    <w:rsid w:val="0056626F"/>
    <w:rsid w:val="00566C6B"/>
    <w:rsid w:val="005671B6"/>
    <w:rsid w:val="005740E3"/>
    <w:rsid w:val="00574468"/>
    <w:rsid w:val="00575DE0"/>
    <w:rsid w:val="00577184"/>
    <w:rsid w:val="00577291"/>
    <w:rsid w:val="00580746"/>
    <w:rsid w:val="00580DE4"/>
    <w:rsid w:val="005816B2"/>
    <w:rsid w:val="005826E3"/>
    <w:rsid w:val="005873B0"/>
    <w:rsid w:val="00592E3F"/>
    <w:rsid w:val="00593366"/>
    <w:rsid w:val="00593D06"/>
    <w:rsid w:val="005976D2"/>
    <w:rsid w:val="0059794F"/>
    <w:rsid w:val="005A4102"/>
    <w:rsid w:val="005A4F75"/>
    <w:rsid w:val="005A560E"/>
    <w:rsid w:val="005A6AD3"/>
    <w:rsid w:val="005B2EBC"/>
    <w:rsid w:val="005B7B42"/>
    <w:rsid w:val="005C655A"/>
    <w:rsid w:val="005D2F9D"/>
    <w:rsid w:val="005D6A89"/>
    <w:rsid w:val="005D758E"/>
    <w:rsid w:val="005E03F9"/>
    <w:rsid w:val="005E05D5"/>
    <w:rsid w:val="005E4123"/>
    <w:rsid w:val="005F0659"/>
    <w:rsid w:val="00600564"/>
    <w:rsid w:val="00601B0F"/>
    <w:rsid w:val="00601B52"/>
    <w:rsid w:val="00601CBF"/>
    <w:rsid w:val="00602644"/>
    <w:rsid w:val="00610221"/>
    <w:rsid w:val="00610542"/>
    <w:rsid w:val="00610948"/>
    <w:rsid w:val="00610C2B"/>
    <w:rsid w:val="006119EE"/>
    <w:rsid w:val="00613797"/>
    <w:rsid w:val="006165E6"/>
    <w:rsid w:val="00620BAA"/>
    <w:rsid w:val="00622C3C"/>
    <w:rsid w:val="0062329E"/>
    <w:rsid w:val="00634A0A"/>
    <w:rsid w:val="00636AA0"/>
    <w:rsid w:val="00637470"/>
    <w:rsid w:val="006402FB"/>
    <w:rsid w:val="00640EBB"/>
    <w:rsid w:val="00640FDC"/>
    <w:rsid w:val="00641BDA"/>
    <w:rsid w:val="0064265B"/>
    <w:rsid w:val="00644DEE"/>
    <w:rsid w:val="006520CF"/>
    <w:rsid w:val="00653F50"/>
    <w:rsid w:val="006616F2"/>
    <w:rsid w:val="00665779"/>
    <w:rsid w:val="006670F6"/>
    <w:rsid w:val="006717D5"/>
    <w:rsid w:val="00671F9E"/>
    <w:rsid w:val="00671FA6"/>
    <w:rsid w:val="0067229A"/>
    <w:rsid w:val="006729D9"/>
    <w:rsid w:val="00676744"/>
    <w:rsid w:val="00676EE0"/>
    <w:rsid w:val="0067786D"/>
    <w:rsid w:val="00677F13"/>
    <w:rsid w:val="00680484"/>
    <w:rsid w:val="006823F1"/>
    <w:rsid w:val="006848E5"/>
    <w:rsid w:val="00686BB8"/>
    <w:rsid w:val="00687126"/>
    <w:rsid w:val="00687F92"/>
    <w:rsid w:val="0069108D"/>
    <w:rsid w:val="006912EC"/>
    <w:rsid w:val="00692B65"/>
    <w:rsid w:val="006943EC"/>
    <w:rsid w:val="00695CBE"/>
    <w:rsid w:val="006A2698"/>
    <w:rsid w:val="006A2762"/>
    <w:rsid w:val="006A341E"/>
    <w:rsid w:val="006A5568"/>
    <w:rsid w:val="006A6756"/>
    <w:rsid w:val="006B1494"/>
    <w:rsid w:val="006B40AB"/>
    <w:rsid w:val="006B608E"/>
    <w:rsid w:val="006B7797"/>
    <w:rsid w:val="006C00B9"/>
    <w:rsid w:val="006C0B3D"/>
    <w:rsid w:val="006C368A"/>
    <w:rsid w:val="006C78A2"/>
    <w:rsid w:val="006D16EB"/>
    <w:rsid w:val="006D25BB"/>
    <w:rsid w:val="006D5800"/>
    <w:rsid w:val="006D6E50"/>
    <w:rsid w:val="006E4982"/>
    <w:rsid w:val="006E55A1"/>
    <w:rsid w:val="006E6A49"/>
    <w:rsid w:val="006E71B5"/>
    <w:rsid w:val="006F273C"/>
    <w:rsid w:val="006F428A"/>
    <w:rsid w:val="006F460B"/>
    <w:rsid w:val="006F47E9"/>
    <w:rsid w:val="007015D9"/>
    <w:rsid w:val="00702B81"/>
    <w:rsid w:val="00702BFD"/>
    <w:rsid w:val="00704DBF"/>
    <w:rsid w:val="00706B3F"/>
    <w:rsid w:val="00713647"/>
    <w:rsid w:val="00714B95"/>
    <w:rsid w:val="0071637D"/>
    <w:rsid w:val="0071759A"/>
    <w:rsid w:val="00720296"/>
    <w:rsid w:val="0072256D"/>
    <w:rsid w:val="00722D00"/>
    <w:rsid w:val="00723FAF"/>
    <w:rsid w:val="007240B9"/>
    <w:rsid w:val="00731907"/>
    <w:rsid w:val="007342B9"/>
    <w:rsid w:val="00736D92"/>
    <w:rsid w:val="00742764"/>
    <w:rsid w:val="0074329F"/>
    <w:rsid w:val="0074593D"/>
    <w:rsid w:val="007461FC"/>
    <w:rsid w:val="00747082"/>
    <w:rsid w:val="00755822"/>
    <w:rsid w:val="00755B89"/>
    <w:rsid w:val="007575D6"/>
    <w:rsid w:val="00760B22"/>
    <w:rsid w:val="007621FE"/>
    <w:rsid w:val="00764DF0"/>
    <w:rsid w:val="00764EE3"/>
    <w:rsid w:val="00765897"/>
    <w:rsid w:val="00766164"/>
    <w:rsid w:val="00767541"/>
    <w:rsid w:val="00767BF1"/>
    <w:rsid w:val="007706E9"/>
    <w:rsid w:val="007764E7"/>
    <w:rsid w:val="00780C14"/>
    <w:rsid w:val="00782859"/>
    <w:rsid w:val="00784C18"/>
    <w:rsid w:val="00784DCB"/>
    <w:rsid w:val="007868D0"/>
    <w:rsid w:val="0079089A"/>
    <w:rsid w:val="00791156"/>
    <w:rsid w:val="0079175E"/>
    <w:rsid w:val="00792ED3"/>
    <w:rsid w:val="0079355A"/>
    <w:rsid w:val="007954D3"/>
    <w:rsid w:val="00795CDE"/>
    <w:rsid w:val="007A2B4D"/>
    <w:rsid w:val="007A4976"/>
    <w:rsid w:val="007A6210"/>
    <w:rsid w:val="007A71FD"/>
    <w:rsid w:val="007B0149"/>
    <w:rsid w:val="007B38EF"/>
    <w:rsid w:val="007C0F3E"/>
    <w:rsid w:val="007C7180"/>
    <w:rsid w:val="007D02BA"/>
    <w:rsid w:val="007D34EB"/>
    <w:rsid w:val="007D3B86"/>
    <w:rsid w:val="007D4F16"/>
    <w:rsid w:val="007D535F"/>
    <w:rsid w:val="007E4470"/>
    <w:rsid w:val="007E48D1"/>
    <w:rsid w:val="007E6156"/>
    <w:rsid w:val="007E67FA"/>
    <w:rsid w:val="007F2629"/>
    <w:rsid w:val="007F3533"/>
    <w:rsid w:val="007F78A3"/>
    <w:rsid w:val="00800514"/>
    <w:rsid w:val="00802C37"/>
    <w:rsid w:val="0080357F"/>
    <w:rsid w:val="00804751"/>
    <w:rsid w:val="00804786"/>
    <w:rsid w:val="00805070"/>
    <w:rsid w:val="008063D1"/>
    <w:rsid w:val="00811999"/>
    <w:rsid w:val="00815245"/>
    <w:rsid w:val="0081735D"/>
    <w:rsid w:val="00821D0B"/>
    <w:rsid w:val="00822EAA"/>
    <w:rsid w:val="00824105"/>
    <w:rsid w:val="00830D34"/>
    <w:rsid w:val="008348A5"/>
    <w:rsid w:val="00834BAA"/>
    <w:rsid w:val="00835608"/>
    <w:rsid w:val="008424B7"/>
    <w:rsid w:val="008443E8"/>
    <w:rsid w:val="008447C2"/>
    <w:rsid w:val="008449E2"/>
    <w:rsid w:val="00844D1F"/>
    <w:rsid w:val="0085007B"/>
    <w:rsid w:val="00850F75"/>
    <w:rsid w:val="008510C5"/>
    <w:rsid w:val="0085191E"/>
    <w:rsid w:val="00852BD1"/>
    <w:rsid w:val="00853C62"/>
    <w:rsid w:val="00857C3C"/>
    <w:rsid w:val="00862A83"/>
    <w:rsid w:val="008632C4"/>
    <w:rsid w:val="0086567A"/>
    <w:rsid w:val="00865984"/>
    <w:rsid w:val="008715AC"/>
    <w:rsid w:val="00871EEA"/>
    <w:rsid w:val="0087204D"/>
    <w:rsid w:val="008734F5"/>
    <w:rsid w:val="0087607A"/>
    <w:rsid w:val="008760EB"/>
    <w:rsid w:val="00880D02"/>
    <w:rsid w:val="0088138A"/>
    <w:rsid w:val="00882AA6"/>
    <w:rsid w:val="0088413E"/>
    <w:rsid w:val="00884942"/>
    <w:rsid w:val="00885497"/>
    <w:rsid w:val="008877D7"/>
    <w:rsid w:val="0089569F"/>
    <w:rsid w:val="008972F4"/>
    <w:rsid w:val="008B17B9"/>
    <w:rsid w:val="008B3893"/>
    <w:rsid w:val="008B521E"/>
    <w:rsid w:val="008B561B"/>
    <w:rsid w:val="008B677F"/>
    <w:rsid w:val="008B7DD4"/>
    <w:rsid w:val="008C2814"/>
    <w:rsid w:val="008C5425"/>
    <w:rsid w:val="008C550B"/>
    <w:rsid w:val="008C597C"/>
    <w:rsid w:val="008C735B"/>
    <w:rsid w:val="008D2BC6"/>
    <w:rsid w:val="008D392E"/>
    <w:rsid w:val="008D6A33"/>
    <w:rsid w:val="008D7E28"/>
    <w:rsid w:val="008E032F"/>
    <w:rsid w:val="008E0A59"/>
    <w:rsid w:val="008E1E4F"/>
    <w:rsid w:val="008E54C9"/>
    <w:rsid w:val="008E6301"/>
    <w:rsid w:val="008E6DDB"/>
    <w:rsid w:val="008E78E5"/>
    <w:rsid w:val="008F0DBF"/>
    <w:rsid w:val="008F113E"/>
    <w:rsid w:val="008F206A"/>
    <w:rsid w:val="008F5DA7"/>
    <w:rsid w:val="008F5FC2"/>
    <w:rsid w:val="00900218"/>
    <w:rsid w:val="00901719"/>
    <w:rsid w:val="009020D6"/>
    <w:rsid w:val="009039E6"/>
    <w:rsid w:val="00903A50"/>
    <w:rsid w:val="00904475"/>
    <w:rsid w:val="00904C7C"/>
    <w:rsid w:val="009128DC"/>
    <w:rsid w:val="0091429F"/>
    <w:rsid w:val="009170AD"/>
    <w:rsid w:val="00920EBF"/>
    <w:rsid w:val="009231AB"/>
    <w:rsid w:val="00923D26"/>
    <w:rsid w:val="00927C8C"/>
    <w:rsid w:val="009305C3"/>
    <w:rsid w:val="00931EB4"/>
    <w:rsid w:val="00933D8A"/>
    <w:rsid w:val="009354DE"/>
    <w:rsid w:val="009356D4"/>
    <w:rsid w:val="009365E7"/>
    <w:rsid w:val="0093757E"/>
    <w:rsid w:val="009375E4"/>
    <w:rsid w:val="009408CD"/>
    <w:rsid w:val="00940DDF"/>
    <w:rsid w:val="009428B6"/>
    <w:rsid w:val="00942E03"/>
    <w:rsid w:val="00943B6D"/>
    <w:rsid w:val="009472AE"/>
    <w:rsid w:val="009475B1"/>
    <w:rsid w:val="00950AB6"/>
    <w:rsid w:val="00950B60"/>
    <w:rsid w:val="00954681"/>
    <w:rsid w:val="00956ACC"/>
    <w:rsid w:val="009640D1"/>
    <w:rsid w:val="009654BF"/>
    <w:rsid w:val="00971AF2"/>
    <w:rsid w:val="00973054"/>
    <w:rsid w:val="00980681"/>
    <w:rsid w:val="00984036"/>
    <w:rsid w:val="00984BDD"/>
    <w:rsid w:val="00986A07"/>
    <w:rsid w:val="00990213"/>
    <w:rsid w:val="00990C1A"/>
    <w:rsid w:val="00994782"/>
    <w:rsid w:val="009979C6"/>
    <w:rsid w:val="00997EB3"/>
    <w:rsid w:val="009A0B78"/>
    <w:rsid w:val="009A0D6B"/>
    <w:rsid w:val="009A0DB2"/>
    <w:rsid w:val="009A3F96"/>
    <w:rsid w:val="009A58E2"/>
    <w:rsid w:val="009A7274"/>
    <w:rsid w:val="009B1265"/>
    <w:rsid w:val="009B160B"/>
    <w:rsid w:val="009B67F2"/>
    <w:rsid w:val="009C0D77"/>
    <w:rsid w:val="009C1423"/>
    <w:rsid w:val="009C35FA"/>
    <w:rsid w:val="009C72CB"/>
    <w:rsid w:val="009D1E42"/>
    <w:rsid w:val="009D1E8C"/>
    <w:rsid w:val="009D4704"/>
    <w:rsid w:val="009D4A4C"/>
    <w:rsid w:val="009D6B3D"/>
    <w:rsid w:val="009E23F3"/>
    <w:rsid w:val="009E335D"/>
    <w:rsid w:val="009E3F74"/>
    <w:rsid w:val="009E45DA"/>
    <w:rsid w:val="009E7ED8"/>
    <w:rsid w:val="009F0AD2"/>
    <w:rsid w:val="00A01BEB"/>
    <w:rsid w:val="00A02BE0"/>
    <w:rsid w:val="00A10761"/>
    <w:rsid w:val="00A13A43"/>
    <w:rsid w:val="00A14F3D"/>
    <w:rsid w:val="00A15964"/>
    <w:rsid w:val="00A1651A"/>
    <w:rsid w:val="00A16D51"/>
    <w:rsid w:val="00A21A26"/>
    <w:rsid w:val="00A21D14"/>
    <w:rsid w:val="00A21F36"/>
    <w:rsid w:val="00A2259B"/>
    <w:rsid w:val="00A235A6"/>
    <w:rsid w:val="00A24D36"/>
    <w:rsid w:val="00A26DB9"/>
    <w:rsid w:val="00A3297A"/>
    <w:rsid w:val="00A32BBB"/>
    <w:rsid w:val="00A356A7"/>
    <w:rsid w:val="00A45C2C"/>
    <w:rsid w:val="00A46FC8"/>
    <w:rsid w:val="00A47E43"/>
    <w:rsid w:val="00A513EB"/>
    <w:rsid w:val="00A52F5F"/>
    <w:rsid w:val="00A5471D"/>
    <w:rsid w:val="00A5638F"/>
    <w:rsid w:val="00A57367"/>
    <w:rsid w:val="00A61BAF"/>
    <w:rsid w:val="00A641E8"/>
    <w:rsid w:val="00A64221"/>
    <w:rsid w:val="00A650CE"/>
    <w:rsid w:val="00A672A1"/>
    <w:rsid w:val="00A67759"/>
    <w:rsid w:val="00A70B31"/>
    <w:rsid w:val="00A7384D"/>
    <w:rsid w:val="00A754C2"/>
    <w:rsid w:val="00A75BDD"/>
    <w:rsid w:val="00A76483"/>
    <w:rsid w:val="00A85B64"/>
    <w:rsid w:val="00A9217E"/>
    <w:rsid w:val="00A929F9"/>
    <w:rsid w:val="00A96361"/>
    <w:rsid w:val="00A97961"/>
    <w:rsid w:val="00A97B22"/>
    <w:rsid w:val="00A97FE8"/>
    <w:rsid w:val="00AA13A9"/>
    <w:rsid w:val="00AA44D4"/>
    <w:rsid w:val="00AA4926"/>
    <w:rsid w:val="00AA6EDF"/>
    <w:rsid w:val="00AB143F"/>
    <w:rsid w:val="00AB2A17"/>
    <w:rsid w:val="00AB4919"/>
    <w:rsid w:val="00AC2B85"/>
    <w:rsid w:val="00AC2ECE"/>
    <w:rsid w:val="00AC4696"/>
    <w:rsid w:val="00AC5143"/>
    <w:rsid w:val="00AC518D"/>
    <w:rsid w:val="00AC5200"/>
    <w:rsid w:val="00AC5CF7"/>
    <w:rsid w:val="00AD4770"/>
    <w:rsid w:val="00AD5D8A"/>
    <w:rsid w:val="00AD5FEB"/>
    <w:rsid w:val="00AD755E"/>
    <w:rsid w:val="00AF104D"/>
    <w:rsid w:val="00AF1082"/>
    <w:rsid w:val="00AF1BD0"/>
    <w:rsid w:val="00AF30C5"/>
    <w:rsid w:val="00AF37E6"/>
    <w:rsid w:val="00AF463C"/>
    <w:rsid w:val="00AF468E"/>
    <w:rsid w:val="00B00F09"/>
    <w:rsid w:val="00B03B96"/>
    <w:rsid w:val="00B03DFB"/>
    <w:rsid w:val="00B11457"/>
    <w:rsid w:val="00B11623"/>
    <w:rsid w:val="00B236A4"/>
    <w:rsid w:val="00B23DC6"/>
    <w:rsid w:val="00B245DF"/>
    <w:rsid w:val="00B265F7"/>
    <w:rsid w:val="00B27017"/>
    <w:rsid w:val="00B2722B"/>
    <w:rsid w:val="00B27F91"/>
    <w:rsid w:val="00B310FF"/>
    <w:rsid w:val="00B349B3"/>
    <w:rsid w:val="00B37D11"/>
    <w:rsid w:val="00B4320B"/>
    <w:rsid w:val="00B43BB0"/>
    <w:rsid w:val="00B52B09"/>
    <w:rsid w:val="00B5590E"/>
    <w:rsid w:val="00B55C0A"/>
    <w:rsid w:val="00B600EF"/>
    <w:rsid w:val="00B610BA"/>
    <w:rsid w:val="00B659F4"/>
    <w:rsid w:val="00B67DB8"/>
    <w:rsid w:val="00B705C8"/>
    <w:rsid w:val="00B7119F"/>
    <w:rsid w:val="00B711CA"/>
    <w:rsid w:val="00B74801"/>
    <w:rsid w:val="00B7622A"/>
    <w:rsid w:val="00B76D60"/>
    <w:rsid w:val="00B82B8C"/>
    <w:rsid w:val="00B8365B"/>
    <w:rsid w:val="00B841A9"/>
    <w:rsid w:val="00B8760C"/>
    <w:rsid w:val="00B9351D"/>
    <w:rsid w:val="00B94805"/>
    <w:rsid w:val="00B97B9F"/>
    <w:rsid w:val="00BA0DAD"/>
    <w:rsid w:val="00BA1843"/>
    <w:rsid w:val="00BA3FEA"/>
    <w:rsid w:val="00BA549E"/>
    <w:rsid w:val="00BA5C33"/>
    <w:rsid w:val="00BA72E9"/>
    <w:rsid w:val="00BA79AF"/>
    <w:rsid w:val="00BB0101"/>
    <w:rsid w:val="00BB285C"/>
    <w:rsid w:val="00BB306F"/>
    <w:rsid w:val="00BC2C0F"/>
    <w:rsid w:val="00BC319F"/>
    <w:rsid w:val="00BC5EF4"/>
    <w:rsid w:val="00BD152D"/>
    <w:rsid w:val="00BD236A"/>
    <w:rsid w:val="00BD441D"/>
    <w:rsid w:val="00BE0586"/>
    <w:rsid w:val="00BE19B7"/>
    <w:rsid w:val="00BE513A"/>
    <w:rsid w:val="00BE6898"/>
    <w:rsid w:val="00BE6CE2"/>
    <w:rsid w:val="00BE798A"/>
    <w:rsid w:val="00BE7B39"/>
    <w:rsid w:val="00BF10AC"/>
    <w:rsid w:val="00BF13F7"/>
    <w:rsid w:val="00BF233F"/>
    <w:rsid w:val="00BF3C8C"/>
    <w:rsid w:val="00BF3D15"/>
    <w:rsid w:val="00BF4407"/>
    <w:rsid w:val="00BF4876"/>
    <w:rsid w:val="00BF64DD"/>
    <w:rsid w:val="00C01F2A"/>
    <w:rsid w:val="00C038D3"/>
    <w:rsid w:val="00C03DB9"/>
    <w:rsid w:val="00C054E4"/>
    <w:rsid w:val="00C073F9"/>
    <w:rsid w:val="00C07E91"/>
    <w:rsid w:val="00C11FAC"/>
    <w:rsid w:val="00C13DBB"/>
    <w:rsid w:val="00C149AC"/>
    <w:rsid w:val="00C16A4F"/>
    <w:rsid w:val="00C16AF0"/>
    <w:rsid w:val="00C176ED"/>
    <w:rsid w:val="00C17EBF"/>
    <w:rsid w:val="00C2167E"/>
    <w:rsid w:val="00C25738"/>
    <w:rsid w:val="00C25B14"/>
    <w:rsid w:val="00C30FA9"/>
    <w:rsid w:val="00C32242"/>
    <w:rsid w:val="00C322F2"/>
    <w:rsid w:val="00C32BD0"/>
    <w:rsid w:val="00C34B0D"/>
    <w:rsid w:val="00C359F8"/>
    <w:rsid w:val="00C422FE"/>
    <w:rsid w:val="00C42BE6"/>
    <w:rsid w:val="00C461FE"/>
    <w:rsid w:val="00C473A5"/>
    <w:rsid w:val="00C55112"/>
    <w:rsid w:val="00C56D86"/>
    <w:rsid w:val="00C56FB9"/>
    <w:rsid w:val="00C60F22"/>
    <w:rsid w:val="00C635B2"/>
    <w:rsid w:val="00C63F67"/>
    <w:rsid w:val="00C7168D"/>
    <w:rsid w:val="00C729FA"/>
    <w:rsid w:val="00C7370C"/>
    <w:rsid w:val="00C75D94"/>
    <w:rsid w:val="00C76072"/>
    <w:rsid w:val="00C8171D"/>
    <w:rsid w:val="00C82619"/>
    <w:rsid w:val="00C826A4"/>
    <w:rsid w:val="00C826C8"/>
    <w:rsid w:val="00C8290E"/>
    <w:rsid w:val="00C8535A"/>
    <w:rsid w:val="00C87A24"/>
    <w:rsid w:val="00C90747"/>
    <w:rsid w:val="00C92E74"/>
    <w:rsid w:val="00C949F3"/>
    <w:rsid w:val="00C9633E"/>
    <w:rsid w:val="00C96B7D"/>
    <w:rsid w:val="00CA0349"/>
    <w:rsid w:val="00CA0CC5"/>
    <w:rsid w:val="00CA0D8C"/>
    <w:rsid w:val="00CA342D"/>
    <w:rsid w:val="00CA3ECC"/>
    <w:rsid w:val="00CA4DF0"/>
    <w:rsid w:val="00CA59F1"/>
    <w:rsid w:val="00CA5ECF"/>
    <w:rsid w:val="00CA61EE"/>
    <w:rsid w:val="00CA6790"/>
    <w:rsid w:val="00CA70F3"/>
    <w:rsid w:val="00CB1A7A"/>
    <w:rsid w:val="00CB4992"/>
    <w:rsid w:val="00CB4F7D"/>
    <w:rsid w:val="00CB5523"/>
    <w:rsid w:val="00CC0A56"/>
    <w:rsid w:val="00CC188B"/>
    <w:rsid w:val="00CC2AF8"/>
    <w:rsid w:val="00CC3897"/>
    <w:rsid w:val="00CC5799"/>
    <w:rsid w:val="00CC66AF"/>
    <w:rsid w:val="00CC6B95"/>
    <w:rsid w:val="00CC6FE6"/>
    <w:rsid w:val="00CC7F0C"/>
    <w:rsid w:val="00CD1118"/>
    <w:rsid w:val="00CD4558"/>
    <w:rsid w:val="00CD5ABC"/>
    <w:rsid w:val="00CD70F7"/>
    <w:rsid w:val="00CE3B06"/>
    <w:rsid w:val="00CE6706"/>
    <w:rsid w:val="00CE7F78"/>
    <w:rsid w:val="00CF06D1"/>
    <w:rsid w:val="00CF26E7"/>
    <w:rsid w:val="00CF2B97"/>
    <w:rsid w:val="00CF3216"/>
    <w:rsid w:val="00CF4456"/>
    <w:rsid w:val="00CF4537"/>
    <w:rsid w:val="00CF57CB"/>
    <w:rsid w:val="00D02390"/>
    <w:rsid w:val="00D03008"/>
    <w:rsid w:val="00D131C9"/>
    <w:rsid w:val="00D13B23"/>
    <w:rsid w:val="00D17750"/>
    <w:rsid w:val="00D17789"/>
    <w:rsid w:val="00D2258F"/>
    <w:rsid w:val="00D233F1"/>
    <w:rsid w:val="00D3128C"/>
    <w:rsid w:val="00D3150E"/>
    <w:rsid w:val="00D31B94"/>
    <w:rsid w:val="00D33821"/>
    <w:rsid w:val="00D34DB5"/>
    <w:rsid w:val="00D37E2C"/>
    <w:rsid w:val="00D40FAE"/>
    <w:rsid w:val="00D415B3"/>
    <w:rsid w:val="00D42A8C"/>
    <w:rsid w:val="00D45672"/>
    <w:rsid w:val="00D46F11"/>
    <w:rsid w:val="00D50B17"/>
    <w:rsid w:val="00D5518F"/>
    <w:rsid w:val="00D570C9"/>
    <w:rsid w:val="00D575B5"/>
    <w:rsid w:val="00D6272A"/>
    <w:rsid w:val="00D67E4A"/>
    <w:rsid w:val="00D7315D"/>
    <w:rsid w:val="00D73671"/>
    <w:rsid w:val="00D73883"/>
    <w:rsid w:val="00D7678A"/>
    <w:rsid w:val="00D76C32"/>
    <w:rsid w:val="00D77C4D"/>
    <w:rsid w:val="00D82812"/>
    <w:rsid w:val="00D8299D"/>
    <w:rsid w:val="00D82CAC"/>
    <w:rsid w:val="00D82E42"/>
    <w:rsid w:val="00D84267"/>
    <w:rsid w:val="00D84476"/>
    <w:rsid w:val="00D84BE1"/>
    <w:rsid w:val="00D86C74"/>
    <w:rsid w:val="00D87AC7"/>
    <w:rsid w:val="00D93362"/>
    <w:rsid w:val="00D94F03"/>
    <w:rsid w:val="00D95D10"/>
    <w:rsid w:val="00DA213D"/>
    <w:rsid w:val="00DA46D5"/>
    <w:rsid w:val="00DA736B"/>
    <w:rsid w:val="00DB0016"/>
    <w:rsid w:val="00DB1171"/>
    <w:rsid w:val="00DB2415"/>
    <w:rsid w:val="00DB2B52"/>
    <w:rsid w:val="00DB3C18"/>
    <w:rsid w:val="00DB54BF"/>
    <w:rsid w:val="00DC0AE8"/>
    <w:rsid w:val="00DD3D02"/>
    <w:rsid w:val="00DD61C6"/>
    <w:rsid w:val="00DD6813"/>
    <w:rsid w:val="00DD7E5A"/>
    <w:rsid w:val="00DD7FCA"/>
    <w:rsid w:val="00DE0DA2"/>
    <w:rsid w:val="00DE1059"/>
    <w:rsid w:val="00DE3EE8"/>
    <w:rsid w:val="00DE5C83"/>
    <w:rsid w:val="00DF18A6"/>
    <w:rsid w:val="00DF1D6D"/>
    <w:rsid w:val="00DF672C"/>
    <w:rsid w:val="00DF6B03"/>
    <w:rsid w:val="00DF702B"/>
    <w:rsid w:val="00E00EDB"/>
    <w:rsid w:val="00E01088"/>
    <w:rsid w:val="00E038C0"/>
    <w:rsid w:val="00E05210"/>
    <w:rsid w:val="00E05F92"/>
    <w:rsid w:val="00E1135C"/>
    <w:rsid w:val="00E139F3"/>
    <w:rsid w:val="00E1487F"/>
    <w:rsid w:val="00E17FB6"/>
    <w:rsid w:val="00E21C7D"/>
    <w:rsid w:val="00E23D46"/>
    <w:rsid w:val="00E26AA5"/>
    <w:rsid w:val="00E27AB4"/>
    <w:rsid w:val="00E27DF3"/>
    <w:rsid w:val="00E3169A"/>
    <w:rsid w:val="00E347B3"/>
    <w:rsid w:val="00E34C79"/>
    <w:rsid w:val="00E47B72"/>
    <w:rsid w:val="00E51408"/>
    <w:rsid w:val="00E52410"/>
    <w:rsid w:val="00E5510F"/>
    <w:rsid w:val="00E55E2C"/>
    <w:rsid w:val="00E6144E"/>
    <w:rsid w:val="00E63359"/>
    <w:rsid w:val="00E63427"/>
    <w:rsid w:val="00E67412"/>
    <w:rsid w:val="00E67487"/>
    <w:rsid w:val="00E676A3"/>
    <w:rsid w:val="00E67AA3"/>
    <w:rsid w:val="00E70DB6"/>
    <w:rsid w:val="00E717B2"/>
    <w:rsid w:val="00E71E96"/>
    <w:rsid w:val="00E807A0"/>
    <w:rsid w:val="00E82B21"/>
    <w:rsid w:val="00E8310B"/>
    <w:rsid w:val="00E84EC8"/>
    <w:rsid w:val="00E855F2"/>
    <w:rsid w:val="00E906A0"/>
    <w:rsid w:val="00E93514"/>
    <w:rsid w:val="00E94EF1"/>
    <w:rsid w:val="00E96404"/>
    <w:rsid w:val="00EA0F23"/>
    <w:rsid w:val="00EA4361"/>
    <w:rsid w:val="00EA6586"/>
    <w:rsid w:val="00EB0B35"/>
    <w:rsid w:val="00EB2AA0"/>
    <w:rsid w:val="00EC0740"/>
    <w:rsid w:val="00EC0ED0"/>
    <w:rsid w:val="00EC1880"/>
    <w:rsid w:val="00EC2A6F"/>
    <w:rsid w:val="00EC2CCA"/>
    <w:rsid w:val="00EC4A29"/>
    <w:rsid w:val="00EC63B7"/>
    <w:rsid w:val="00ED44ED"/>
    <w:rsid w:val="00ED6556"/>
    <w:rsid w:val="00ED6588"/>
    <w:rsid w:val="00EE300C"/>
    <w:rsid w:val="00EE3278"/>
    <w:rsid w:val="00EE37ED"/>
    <w:rsid w:val="00EE3C8A"/>
    <w:rsid w:val="00EE4646"/>
    <w:rsid w:val="00EE5576"/>
    <w:rsid w:val="00EF0866"/>
    <w:rsid w:val="00EF19A5"/>
    <w:rsid w:val="00EF2C09"/>
    <w:rsid w:val="00EF2D8F"/>
    <w:rsid w:val="00EF7189"/>
    <w:rsid w:val="00EF73FF"/>
    <w:rsid w:val="00F00B84"/>
    <w:rsid w:val="00F03349"/>
    <w:rsid w:val="00F05F96"/>
    <w:rsid w:val="00F1214D"/>
    <w:rsid w:val="00F136C5"/>
    <w:rsid w:val="00F136DC"/>
    <w:rsid w:val="00F13AC2"/>
    <w:rsid w:val="00F23226"/>
    <w:rsid w:val="00F2341E"/>
    <w:rsid w:val="00F32CDD"/>
    <w:rsid w:val="00F353DA"/>
    <w:rsid w:val="00F35A5F"/>
    <w:rsid w:val="00F35F23"/>
    <w:rsid w:val="00F3766A"/>
    <w:rsid w:val="00F40EFA"/>
    <w:rsid w:val="00F41176"/>
    <w:rsid w:val="00F41FBD"/>
    <w:rsid w:val="00F42D54"/>
    <w:rsid w:val="00F43795"/>
    <w:rsid w:val="00F43DB9"/>
    <w:rsid w:val="00F4560D"/>
    <w:rsid w:val="00F46F96"/>
    <w:rsid w:val="00F47BC2"/>
    <w:rsid w:val="00F50598"/>
    <w:rsid w:val="00F55826"/>
    <w:rsid w:val="00F55FEB"/>
    <w:rsid w:val="00F56D74"/>
    <w:rsid w:val="00F62BFC"/>
    <w:rsid w:val="00F654F7"/>
    <w:rsid w:val="00F70454"/>
    <w:rsid w:val="00F70A1F"/>
    <w:rsid w:val="00F71003"/>
    <w:rsid w:val="00F713F1"/>
    <w:rsid w:val="00F73232"/>
    <w:rsid w:val="00F73678"/>
    <w:rsid w:val="00F74695"/>
    <w:rsid w:val="00F75675"/>
    <w:rsid w:val="00F75D08"/>
    <w:rsid w:val="00F8213B"/>
    <w:rsid w:val="00F822B5"/>
    <w:rsid w:val="00F85BE0"/>
    <w:rsid w:val="00F86DE8"/>
    <w:rsid w:val="00F90A31"/>
    <w:rsid w:val="00F90CC5"/>
    <w:rsid w:val="00F92251"/>
    <w:rsid w:val="00F93CFB"/>
    <w:rsid w:val="00F96A3F"/>
    <w:rsid w:val="00F97838"/>
    <w:rsid w:val="00F97E4A"/>
    <w:rsid w:val="00FA306F"/>
    <w:rsid w:val="00FA53F8"/>
    <w:rsid w:val="00FA7009"/>
    <w:rsid w:val="00FB1303"/>
    <w:rsid w:val="00FB29F5"/>
    <w:rsid w:val="00FB3678"/>
    <w:rsid w:val="00FB3FA9"/>
    <w:rsid w:val="00FB6C1A"/>
    <w:rsid w:val="00FC0224"/>
    <w:rsid w:val="00FC08AC"/>
    <w:rsid w:val="00FC4084"/>
    <w:rsid w:val="00FC7AA1"/>
    <w:rsid w:val="00FD112B"/>
    <w:rsid w:val="00FD1625"/>
    <w:rsid w:val="00FD3ABA"/>
    <w:rsid w:val="00FD4B9A"/>
    <w:rsid w:val="00FD5500"/>
    <w:rsid w:val="00FD5A5D"/>
    <w:rsid w:val="00FD6070"/>
    <w:rsid w:val="00FD7946"/>
    <w:rsid w:val="00FE0CC6"/>
    <w:rsid w:val="00FE1CBB"/>
    <w:rsid w:val="00FE24A0"/>
    <w:rsid w:val="00FE4935"/>
    <w:rsid w:val="00FF0D97"/>
    <w:rsid w:val="00FF2529"/>
    <w:rsid w:val="00FF2D71"/>
    <w:rsid w:val="00FF39E0"/>
    <w:rsid w:val="00FF464D"/>
    <w:rsid w:val="00FF5E6F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0EF5040"/>
  <w15:chartTrackingRefBased/>
  <w15:docId w15:val="{20C55E9F-B088-4597-A720-7C70DEC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D1"/>
    <w:rPr>
      <w:rFonts w:eastAsiaTheme="minorHAnsi" w:cs="Calibri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2F5F"/>
    <w:pPr>
      <w:keepNext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22A"/>
    <w:pPr>
      <w:tabs>
        <w:tab w:val="center" w:pos="4536"/>
        <w:tab w:val="right" w:pos="9072"/>
      </w:tabs>
    </w:pPr>
    <w:rPr>
      <w:rFonts w:eastAsia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B7622A"/>
  </w:style>
  <w:style w:type="paragraph" w:styleId="Footer">
    <w:name w:val="footer"/>
    <w:basedOn w:val="Normal"/>
    <w:link w:val="FooterChar"/>
    <w:uiPriority w:val="99"/>
    <w:unhideWhenUsed/>
    <w:rsid w:val="00B7622A"/>
    <w:pPr>
      <w:tabs>
        <w:tab w:val="center" w:pos="4536"/>
        <w:tab w:val="right" w:pos="9072"/>
      </w:tabs>
    </w:pPr>
    <w:rPr>
      <w:rFonts w:eastAsia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B7622A"/>
  </w:style>
  <w:style w:type="paragraph" w:styleId="BalloonText">
    <w:name w:val="Balloon Text"/>
    <w:basedOn w:val="Normal"/>
    <w:link w:val="BalloonTextChar"/>
    <w:uiPriority w:val="99"/>
    <w:semiHidden/>
    <w:unhideWhenUsed/>
    <w:rsid w:val="00B762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762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0D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65F7"/>
    <w:pPr>
      <w:ind w:left="720"/>
    </w:pPr>
    <w:rPr>
      <w:rFonts w:eastAsia="Calibri"/>
      <w:lang w:val="hr-HR" w:eastAsia="hr-HR"/>
    </w:rPr>
  </w:style>
  <w:style w:type="paragraph" w:customStyle="1" w:styleId="Default">
    <w:name w:val="Default"/>
    <w:rsid w:val="008972F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5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F3FC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6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D86"/>
    <w:pPr>
      <w:spacing w:after="200"/>
    </w:pPr>
    <w:rPr>
      <w:rFonts w:eastAsia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D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86"/>
    <w:rPr>
      <w:b/>
      <w:bCs/>
      <w:lang w:eastAsia="en-US"/>
    </w:rPr>
  </w:style>
  <w:style w:type="character" w:customStyle="1" w:styleId="fontstyle01">
    <w:name w:val="fontstyle01"/>
    <w:basedOn w:val="DefaultParagraphFont"/>
    <w:rsid w:val="00D315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A52F5F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magbicro.hr" TargetMode="External"/><Relationship Id="rId1" Type="http://schemas.openxmlformats.org/officeDocument/2006/relationships/hyperlink" Target="mailto:hamagbicro@hamagbicr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14E6-F7AF-4593-AEA5-4867FCDB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2275</Words>
  <Characters>12973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15218</CharactersWithSpaces>
  <SharedDoc>false</SharedDoc>
  <HLinks>
    <vt:vector size="12" baseType="variant">
      <vt:variant>
        <vt:i4>917590</vt:i4>
      </vt:variant>
      <vt:variant>
        <vt:i4>3</vt:i4>
      </vt:variant>
      <vt:variant>
        <vt:i4>0</vt:i4>
      </vt:variant>
      <vt:variant>
        <vt:i4>5</vt:i4>
      </vt:variant>
      <vt:variant>
        <vt:lpwstr>http://www.hamagbicro.hr/</vt:lpwstr>
      </vt:variant>
      <vt:variant>
        <vt:lpwstr/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mailto:hamagbicro@hamagbicro.hr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hmadunic</dc:creator>
  <cp:keywords/>
  <cp:lastModifiedBy>Milka Marina Jelić</cp:lastModifiedBy>
  <cp:revision>31</cp:revision>
  <cp:lastPrinted>2024-01-31T10:04:00Z</cp:lastPrinted>
  <dcterms:created xsi:type="dcterms:W3CDTF">2025-01-28T08:04:00Z</dcterms:created>
  <dcterms:modified xsi:type="dcterms:W3CDTF">2025-01-28T13:21:00Z</dcterms:modified>
</cp:coreProperties>
</file>