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7178" w14:textId="77777777" w:rsidR="00862A83" w:rsidRPr="002D27AB" w:rsidRDefault="00862A83" w:rsidP="00480EA9">
      <w:pPr>
        <w:outlineLvl w:val="0"/>
        <w:rPr>
          <w:rFonts w:cs="Arial"/>
          <w:lang w:val="hr-HR"/>
        </w:rPr>
      </w:pPr>
    </w:p>
    <w:p w14:paraId="0FB5F2FF" w14:textId="434FA462" w:rsidR="00B265F7" w:rsidRPr="002D27AB" w:rsidRDefault="00B265F7" w:rsidP="00480EA9">
      <w:pPr>
        <w:outlineLvl w:val="0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Razdjel: 0</w:t>
      </w:r>
      <w:r w:rsidR="00B5590E" w:rsidRPr="002D27AB">
        <w:rPr>
          <w:rFonts w:asciiTheme="majorHAnsi" w:hAnsiTheme="majorHAnsi" w:cstheme="majorHAnsi"/>
          <w:lang w:val="hr-HR"/>
        </w:rPr>
        <w:t>7</w:t>
      </w:r>
      <w:r w:rsidR="00EF19A5" w:rsidRPr="002D27AB">
        <w:rPr>
          <w:rFonts w:asciiTheme="majorHAnsi" w:hAnsiTheme="majorHAnsi" w:cstheme="majorHAnsi"/>
          <w:lang w:val="hr-HR"/>
        </w:rPr>
        <w:t>7</w:t>
      </w:r>
      <w:r w:rsidRPr="002D27AB">
        <w:rPr>
          <w:rFonts w:asciiTheme="majorHAnsi" w:hAnsiTheme="majorHAnsi" w:cstheme="majorHAnsi"/>
          <w:lang w:val="hr-HR"/>
        </w:rPr>
        <w:t xml:space="preserve"> Ministarstvo </w:t>
      </w:r>
      <w:r w:rsidR="00755822" w:rsidRPr="002D27AB">
        <w:rPr>
          <w:rFonts w:asciiTheme="majorHAnsi" w:hAnsiTheme="majorHAnsi" w:cstheme="majorHAnsi"/>
          <w:lang w:val="hr-HR"/>
        </w:rPr>
        <w:t>gospodarstva</w:t>
      </w:r>
      <w:r w:rsidR="00EF19A5" w:rsidRPr="002D27AB">
        <w:rPr>
          <w:rFonts w:asciiTheme="majorHAnsi" w:hAnsiTheme="majorHAnsi" w:cstheme="majorHAnsi"/>
          <w:lang w:val="hr-HR"/>
        </w:rPr>
        <w:t xml:space="preserve"> i održivog razvoja </w:t>
      </w:r>
    </w:p>
    <w:p w14:paraId="5237D16A" w14:textId="54176C56" w:rsidR="00B265F7" w:rsidRPr="002D27AB" w:rsidRDefault="00B265F7" w:rsidP="00480EA9">
      <w:pPr>
        <w:outlineLvl w:val="0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Glava:</w:t>
      </w:r>
      <w:r w:rsidRPr="002D27AB">
        <w:rPr>
          <w:rFonts w:asciiTheme="majorHAnsi" w:hAnsiTheme="majorHAnsi" w:cstheme="majorHAnsi"/>
          <w:lang w:val="hr-HR"/>
        </w:rPr>
        <w:tab/>
        <w:t>0</w:t>
      </w:r>
      <w:r w:rsidR="00B5590E" w:rsidRPr="002D27AB">
        <w:rPr>
          <w:rFonts w:asciiTheme="majorHAnsi" w:hAnsiTheme="majorHAnsi" w:cstheme="majorHAnsi"/>
          <w:lang w:val="hr-HR"/>
        </w:rPr>
        <w:t>7775</w:t>
      </w:r>
      <w:r w:rsidRPr="002D27AB">
        <w:rPr>
          <w:rFonts w:asciiTheme="majorHAnsi" w:hAnsiTheme="majorHAnsi" w:cstheme="majorHAnsi"/>
          <w:lang w:val="hr-HR"/>
        </w:rPr>
        <w:t xml:space="preserve"> Hrvatska agencija za malo gospodarstvo, inovacije i investicije</w:t>
      </w:r>
    </w:p>
    <w:p w14:paraId="4269B2DD" w14:textId="77777777" w:rsidR="00B265F7" w:rsidRPr="002D27AB" w:rsidRDefault="00B265F7" w:rsidP="00480EA9">
      <w:pPr>
        <w:outlineLvl w:val="0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RKP: 46237 </w:t>
      </w:r>
      <w:r w:rsidR="007621FE" w:rsidRPr="002D27AB">
        <w:rPr>
          <w:rFonts w:asciiTheme="majorHAnsi" w:hAnsiTheme="majorHAnsi" w:cstheme="majorHAnsi"/>
          <w:lang w:val="hr-HR"/>
        </w:rPr>
        <w:t>Hrvatska agencija za malo gospodarstvo, inovacije i investicije</w:t>
      </w:r>
    </w:p>
    <w:p w14:paraId="6BFF9C94" w14:textId="77777777" w:rsidR="00B265F7" w:rsidRPr="002D27AB" w:rsidRDefault="00F74695" w:rsidP="00480EA9">
      <w:pPr>
        <w:outlineLvl w:val="0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Matični broj: </w:t>
      </w:r>
      <w:r w:rsidR="00B265F7" w:rsidRPr="002D27AB">
        <w:rPr>
          <w:rFonts w:asciiTheme="majorHAnsi" w:hAnsiTheme="majorHAnsi" w:cstheme="majorHAnsi"/>
          <w:lang w:val="hr-HR"/>
        </w:rPr>
        <w:t>0767875</w:t>
      </w:r>
    </w:p>
    <w:p w14:paraId="4826C0DE" w14:textId="77777777" w:rsidR="00B265F7" w:rsidRPr="002D27AB" w:rsidRDefault="00B265F7" w:rsidP="00480EA9">
      <w:pPr>
        <w:outlineLvl w:val="0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OIB: 25609559342</w:t>
      </w:r>
      <w:r w:rsidRPr="002D27AB">
        <w:rPr>
          <w:rFonts w:asciiTheme="majorHAnsi" w:hAnsiTheme="majorHAnsi" w:cstheme="majorHAnsi"/>
          <w:lang w:val="hr-HR"/>
        </w:rPr>
        <w:tab/>
      </w:r>
    </w:p>
    <w:p w14:paraId="11C1DC18" w14:textId="7449F250" w:rsidR="007621FE" w:rsidRPr="002D27AB" w:rsidRDefault="007621FE" w:rsidP="00480EA9">
      <w:pPr>
        <w:outlineLvl w:val="0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Adresa: </w:t>
      </w:r>
      <w:r w:rsidR="0074329F" w:rsidRPr="002D27AB">
        <w:rPr>
          <w:rFonts w:asciiTheme="majorHAnsi" w:hAnsiTheme="majorHAnsi" w:cstheme="majorHAnsi"/>
          <w:lang w:val="hr-HR"/>
        </w:rPr>
        <w:t>Ksaver 208, 10000 Zagreb</w:t>
      </w:r>
    </w:p>
    <w:p w14:paraId="19CB8BF9" w14:textId="14E23D4A" w:rsidR="00AC5200" w:rsidRPr="002D27AB" w:rsidRDefault="00AC5200" w:rsidP="00AC5200">
      <w:pPr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Zagreb, </w:t>
      </w:r>
      <w:r w:rsidR="004F2464" w:rsidRPr="002D27AB">
        <w:rPr>
          <w:rFonts w:asciiTheme="majorHAnsi" w:hAnsiTheme="majorHAnsi" w:cstheme="majorHAnsi"/>
          <w:lang w:val="hr-HR"/>
        </w:rPr>
        <w:t>30</w:t>
      </w:r>
      <w:r w:rsidR="00600564" w:rsidRPr="002D27AB">
        <w:rPr>
          <w:rFonts w:asciiTheme="majorHAnsi" w:hAnsiTheme="majorHAnsi" w:cstheme="majorHAnsi"/>
          <w:lang w:val="hr-HR"/>
        </w:rPr>
        <w:t>.01.202</w:t>
      </w:r>
      <w:r w:rsidR="00BC117F">
        <w:rPr>
          <w:rFonts w:asciiTheme="majorHAnsi" w:hAnsiTheme="majorHAnsi" w:cstheme="majorHAnsi"/>
          <w:lang w:val="hr-HR"/>
        </w:rPr>
        <w:t>3.</w:t>
      </w:r>
    </w:p>
    <w:p w14:paraId="59178169" w14:textId="75CC783A" w:rsidR="00A86E95" w:rsidRPr="002D27AB" w:rsidRDefault="00A86E95" w:rsidP="00AC5200">
      <w:pPr>
        <w:rPr>
          <w:rFonts w:asciiTheme="majorHAnsi" w:hAnsiTheme="majorHAnsi" w:cstheme="majorHAnsi"/>
          <w:lang w:val="hr-HR"/>
        </w:rPr>
      </w:pPr>
    </w:p>
    <w:p w14:paraId="75681ADD" w14:textId="0654080A" w:rsidR="00F76987" w:rsidRPr="002D27AB" w:rsidRDefault="00A86E95" w:rsidP="00F76987">
      <w:pPr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KLASA: </w:t>
      </w:r>
      <w:r w:rsidR="00F76987" w:rsidRPr="002D27AB">
        <w:rPr>
          <w:rFonts w:asciiTheme="majorHAnsi" w:hAnsiTheme="majorHAnsi" w:cstheme="majorHAnsi"/>
          <w:lang w:val="hr-HR"/>
        </w:rPr>
        <w:t>400-09/23-01/01</w:t>
      </w:r>
    </w:p>
    <w:p w14:paraId="35DB7E81" w14:textId="1D8C1E94" w:rsidR="00F76987" w:rsidRPr="002D27AB" w:rsidRDefault="00F76987" w:rsidP="00F76987">
      <w:pPr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URBROJ: 567-13-23-01</w:t>
      </w:r>
    </w:p>
    <w:p w14:paraId="402D362B" w14:textId="04F2712A" w:rsidR="00A86E95" w:rsidRDefault="00A86E95" w:rsidP="00F76987">
      <w:pPr>
        <w:rPr>
          <w:rFonts w:asciiTheme="majorHAnsi" w:hAnsiTheme="majorHAnsi" w:cstheme="majorHAnsi"/>
          <w:lang w:val="hr-HR"/>
        </w:rPr>
      </w:pPr>
    </w:p>
    <w:p w14:paraId="63EBFADF" w14:textId="77777777" w:rsidR="009A326C" w:rsidRPr="002D27AB" w:rsidRDefault="009A326C" w:rsidP="00F76987">
      <w:pPr>
        <w:rPr>
          <w:rFonts w:asciiTheme="majorHAnsi" w:hAnsiTheme="majorHAnsi" w:cstheme="majorHAnsi"/>
          <w:lang w:val="hr-HR"/>
        </w:rPr>
      </w:pPr>
    </w:p>
    <w:p w14:paraId="55253738" w14:textId="77777777" w:rsidR="00862A83" w:rsidRPr="002D27AB" w:rsidRDefault="00862A83" w:rsidP="005873B0">
      <w:pPr>
        <w:ind w:firstLine="709"/>
        <w:jc w:val="center"/>
        <w:outlineLvl w:val="0"/>
        <w:rPr>
          <w:rFonts w:asciiTheme="majorHAnsi" w:hAnsiTheme="majorHAnsi" w:cstheme="majorHAnsi"/>
          <w:b/>
          <w:i/>
          <w:u w:val="single"/>
          <w:lang w:val="hr-HR"/>
        </w:rPr>
      </w:pPr>
    </w:p>
    <w:p w14:paraId="0FC44985" w14:textId="77777777" w:rsidR="00B265F7" w:rsidRPr="002D27AB" w:rsidRDefault="00B265F7" w:rsidP="005873B0">
      <w:pPr>
        <w:ind w:firstLine="709"/>
        <w:jc w:val="center"/>
        <w:outlineLvl w:val="0"/>
        <w:rPr>
          <w:rFonts w:asciiTheme="majorHAnsi" w:hAnsiTheme="majorHAnsi" w:cstheme="majorHAnsi"/>
          <w:b/>
          <w:i/>
          <w:u w:val="single"/>
          <w:lang w:val="hr-HR"/>
        </w:rPr>
      </w:pPr>
      <w:r w:rsidRPr="002D27AB">
        <w:rPr>
          <w:rFonts w:asciiTheme="majorHAnsi" w:hAnsiTheme="majorHAnsi" w:cstheme="majorHAnsi"/>
          <w:b/>
          <w:i/>
          <w:u w:val="single"/>
          <w:lang w:val="hr-HR"/>
        </w:rPr>
        <w:t>Bilješke uz Financijske izvještaje za razdoblje</w:t>
      </w:r>
    </w:p>
    <w:p w14:paraId="28359063" w14:textId="6F53E040" w:rsidR="00A650CE" w:rsidRPr="002D27AB" w:rsidRDefault="004C3F7B" w:rsidP="00A650CE">
      <w:pPr>
        <w:ind w:firstLine="709"/>
        <w:jc w:val="center"/>
        <w:outlineLvl w:val="0"/>
        <w:rPr>
          <w:rStyle w:val="fontstyle01"/>
          <w:rFonts w:asciiTheme="majorHAnsi" w:hAnsiTheme="majorHAnsi" w:cstheme="majorHAnsi"/>
          <w:b/>
          <w:i/>
          <w:color w:val="auto"/>
          <w:u w:val="single"/>
          <w:lang w:val="hr-HR"/>
        </w:rPr>
      </w:pPr>
      <w:r w:rsidRPr="002D27AB">
        <w:rPr>
          <w:rFonts w:asciiTheme="majorHAnsi" w:hAnsiTheme="majorHAnsi" w:cstheme="majorHAnsi"/>
          <w:b/>
          <w:i/>
          <w:u w:val="single"/>
          <w:lang w:val="hr-HR"/>
        </w:rPr>
        <w:t>od 01. siječnja do 3</w:t>
      </w:r>
      <w:r w:rsidR="00B4320B" w:rsidRPr="002D27AB">
        <w:rPr>
          <w:rFonts w:asciiTheme="majorHAnsi" w:hAnsiTheme="majorHAnsi" w:cstheme="majorHAnsi"/>
          <w:b/>
          <w:i/>
          <w:u w:val="single"/>
          <w:lang w:val="hr-HR"/>
        </w:rPr>
        <w:t>1</w:t>
      </w:r>
      <w:r w:rsidR="00B265F7" w:rsidRPr="002D27AB">
        <w:rPr>
          <w:rFonts w:asciiTheme="majorHAnsi" w:hAnsiTheme="majorHAnsi" w:cstheme="majorHAnsi"/>
          <w:b/>
          <w:i/>
          <w:u w:val="single"/>
          <w:lang w:val="hr-HR"/>
        </w:rPr>
        <w:t xml:space="preserve">. </w:t>
      </w:r>
      <w:r w:rsidR="00B4320B" w:rsidRPr="002D27AB">
        <w:rPr>
          <w:rFonts w:asciiTheme="majorHAnsi" w:hAnsiTheme="majorHAnsi" w:cstheme="majorHAnsi"/>
          <w:b/>
          <w:i/>
          <w:u w:val="single"/>
          <w:lang w:val="hr-HR"/>
        </w:rPr>
        <w:t>prosinca</w:t>
      </w:r>
      <w:r w:rsidR="00B265F7" w:rsidRPr="002D27AB">
        <w:rPr>
          <w:rFonts w:asciiTheme="majorHAnsi" w:hAnsiTheme="majorHAnsi" w:cstheme="majorHAnsi"/>
          <w:b/>
          <w:i/>
          <w:u w:val="single"/>
          <w:lang w:val="hr-HR"/>
        </w:rPr>
        <w:t xml:space="preserve"> 20</w:t>
      </w:r>
      <w:r w:rsidR="00BB306F" w:rsidRPr="002D27AB">
        <w:rPr>
          <w:rFonts w:asciiTheme="majorHAnsi" w:hAnsiTheme="majorHAnsi" w:cstheme="majorHAnsi"/>
          <w:b/>
          <w:i/>
          <w:u w:val="single"/>
          <w:lang w:val="hr-HR"/>
        </w:rPr>
        <w:t>2</w:t>
      </w:r>
      <w:r w:rsidR="004F2464" w:rsidRPr="002D27AB">
        <w:rPr>
          <w:rFonts w:asciiTheme="majorHAnsi" w:hAnsiTheme="majorHAnsi" w:cstheme="majorHAnsi"/>
          <w:b/>
          <w:i/>
          <w:u w:val="single"/>
          <w:lang w:val="hr-HR"/>
        </w:rPr>
        <w:t>2</w:t>
      </w:r>
      <w:r w:rsidR="00B265F7" w:rsidRPr="002D27AB">
        <w:rPr>
          <w:rFonts w:asciiTheme="majorHAnsi" w:hAnsiTheme="majorHAnsi" w:cstheme="majorHAnsi"/>
          <w:b/>
          <w:i/>
          <w:u w:val="single"/>
          <w:lang w:val="hr-HR"/>
        </w:rPr>
        <w:t>. god.</w:t>
      </w:r>
    </w:p>
    <w:p w14:paraId="1C9DFE81" w14:textId="77777777" w:rsidR="00A650CE" w:rsidRPr="002D27AB" w:rsidRDefault="00A650CE" w:rsidP="00D3150E">
      <w:pPr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</w:p>
    <w:p w14:paraId="562E8963" w14:textId="6F043A11" w:rsidR="00A650CE" w:rsidRDefault="00A650CE" w:rsidP="00D3150E">
      <w:pPr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</w:p>
    <w:p w14:paraId="10347E16" w14:textId="77777777" w:rsidR="009A326C" w:rsidRPr="002D27AB" w:rsidRDefault="009A326C" w:rsidP="00D3150E">
      <w:pPr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</w:p>
    <w:p w14:paraId="25BDA10C" w14:textId="2C7809A5" w:rsidR="00A650CE" w:rsidRPr="002D27AB" w:rsidRDefault="00A650CE" w:rsidP="00A650CE">
      <w:pPr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color w:val="000000"/>
          <w:lang w:val="hr-HR"/>
        </w:rPr>
        <w:t xml:space="preserve">Agencija je osnovana je na temelju odredaba Zakona o poticanju razvoja malog gospodarstva (Narodne novine 29/02). Zakonom o izmjenama i dopunama Zakona o poticanju razvoja malog gospodarstva (Narodne novine 53/12) Hrvatska agencija za malo gospodarstvo promijenila je naziv u Hrvatska agencija za malo gospodarstvo i investicije (HAMAG INVEST). </w:t>
      </w:r>
      <w:r w:rsidR="00AC291E">
        <w:rPr>
          <w:rFonts w:asciiTheme="majorHAnsi" w:hAnsiTheme="majorHAnsi" w:cstheme="majorHAnsi"/>
          <w:color w:val="000000"/>
          <w:lang w:val="hr-HR"/>
        </w:rPr>
        <w:t>T</w:t>
      </w:r>
      <w:r w:rsidRPr="002D27AB">
        <w:rPr>
          <w:rFonts w:asciiTheme="majorHAnsi" w:hAnsiTheme="majorHAnsi" w:cstheme="majorHAnsi"/>
          <w:color w:val="000000"/>
          <w:lang w:val="hr-HR"/>
        </w:rPr>
        <w:t>emelj</w:t>
      </w:r>
      <w:r w:rsidR="00AC291E">
        <w:rPr>
          <w:rFonts w:asciiTheme="majorHAnsi" w:hAnsiTheme="majorHAnsi" w:cstheme="majorHAnsi"/>
          <w:color w:val="000000"/>
          <w:lang w:val="hr-HR"/>
        </w:rPr>
        <w:t>em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odredaba Zakona o izmjenama i dopunama Zakona o poticanju razvoja malog gospodarstva (Narodne novine 56/13) i Ugovora o pripajanju Poslovno-inovacijske agencije Republike Hrvatske (BICRO) Hrvatskoj agenciji za malo gospodarstvo i investicije (HAMAG INVEST) od 8. travnja 2014., provedeno je pripajanje Poslovno-inovacijske agencije Republike Hrvatske (BICRO) Hrvatskoj agenciji za malo gospodarstvo i investicije (HAMAG INVEST) te je Hrvatska agencija za malo gospodarstvo i investicije promijenila naziv u Hrvatsku agenciju za malo gospodarstvo, inovacije i investicije (skraćeni naziv: HAMAG – BICRO). </w:t>
      </w:r>
    </w:p>
    <w:p w14:paraId="5772EAC2" w14:textId="77777777" w:rsidR="00A650CE" w:rsidRPr="002D27AB" w:rsidRDefault="00A650CE" w:rsidP="00A650CE">
      <w:pPr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</w:p>
    <w:p w14:paraId="71FBF29F" w14:textId="4C452EB0" w:rsidR="0074593D" w:rsidRPr="002D27AB" w:rsidRDefault="00D3150E" w:rsidP="00D3150E">
      <w:pPr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  <w:r w:rsidRPr="002D27AB">
        <w:rPr>
          <w:rStyle w:val="fontstyle01"/>
          <w:rFonts w:asciiTheme="majorHAnsi" w:hAnsiTheme="majorHAnsi" w:cstheme="majorHAnsi"/>
          <w:lang w:val="hr-HR"/>
        </w:rPr>
        <w:t>Hrvatska agencija za malo gospodarstvo</w:t>
      </w:r>
      <w:r w:rsidR="005E05D5" w:rsidRPr="002D27AB">
        <w:rPr>
          <w:rStyle w:val="fontstyle01"/>
          <w:rFonts w:asciiTheme="majorHAnsi" w:hAnsiTheme="majorHAnsi" w:cstheme="majorHAnsi"/>
          <w:lang w:val="hr-HR"/>
        </w:rPr>
        <w:t xml:space="preserve">, </w:t>
      </w:r>
      <w:r w:rsidRPr="002D27AB">
        <w:rPr>
          <w:rStyle w:val="fontstyle01"/>
          <w:rFonts w:asciiTheme="majorHAnsi" w:hAnsiTheme="majorHAnsi" w:cstheme="majorHAnsi"/>
          <w:lang w:val="hr-HR"/>
        </w:rPr>
        <w:t>inovacije i investicije, HAMAG-BICRO najveća je agencija za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poticanje poduzetništva u Republici Hrvatskoj, a osnovana je s ciljem pružanja kvalitetne potpore u poslovanju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subjekata malog i srednjeg gospodarstva, što omogućava lakši i brži ekonomski razvoj na nacionalnoj razini.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Osiguravajući podršku infrastrukturnim i intelektualnim kapacitetima poduzetničkog sektora, poboljšava se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produktivnost u nacionalnom gospodarstvu, a standardi kvalitete se podižu na višu razinu. Cjelokupna djelatnost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Agencije usmjerena je na razvoj malog i srednjeg poduzetništva, privlačenje investicija i unapređenje investicijskog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okruženja. Niz je aktivnosti i mjera kojima HAMAG-BICRO potiče razvoj poduzetništva i konkurentnost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g</w:t>
      </w:r>
      <w:r w:rsidRPr="002D27AB">
        <w:rPr>
          <w:rStyle w:val="fontstyle01"/>
          <w:rFonts w:asciiTheme="majorHAnsi" w:hAnsiTheme="majorHAnsi" w:cstheme="majorHAnsi"/>
          <w:lang w:val="hr-HR"/>
        </w:rPr>
        <w:t>ospodarskih subjekata od kojih su svakako najprepoznatljiviji izdavanje jamstava, bespovratnih potpora i zajmova.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Programe i aktivnosti HAMAG-BICRO kreira sukladno zahtjevima i potrebama tržišta, kako bi njihova namjena</w:t>
      </w:r>
      <w:r w:rsidRPr="002D27AB">
        <w:rPr>
          <w:rFonts w:asciiTheme="majorHAnsi" w:hAnsiTheme="majorHAnsi" w:cstheme="majorHAnsi"/>
          <w:color w:val="000000"/>
          <w:lang w:val="hr-HR"/>
        </w:rPr>
        <w:br/>
      </w:r>
      <w:r w:rsidRPr="002D27AB">
        <w:rPr>
          <w:rStyle w:val="fontstyle01"/>
          <w:rFonts w:asciiTheme="majorHAnsi" w:hAnsiTheme="majorHAnsi" w:cstheme="majorHAnsi"/>
          <w:lang w:val="hr-HR"/>
        </w:rPr>
        <w:t>bila ostvarena uspješnom suradnjom s domaćim i inozemnim partnerima. HAMAG-BICRO kontinuirano ulaže u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jačanje vlastitih kapaciteta koje ga čine neizostavnom karikom razvoja maloga i srednjega poduzetništva. Ulaskom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Republike Hrvatske u Europsku uniju Agencija je dobila važnu ulogu provedbenog tijela druge razine za provedbu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Europskih strukturnih i investicijskih (ESI) fondova</w:t>
      </w:r>
      <w:r w:rsidR="00A76483" w:rsidRPr="002D27AB">
        <w:rPr>
          <w:rStyle w:val="fontstyle01"/>
          <w:rFonts w:asciiTheme="majorHAnsi" w:hAnsiTheme="majorHAnsi" w:cstheme="majorHAnsi"/>
          <w:lang w:val="hr-HR"/>
        </w:rPr>
        <w:t xml:space="preserve">. </w:t>
      </w:r>
      <w:r w:rsidR="000B4270">
        <w:rPr>
          <w:rStyle w:val="fontstyle01"/>
          <w:rFonts w:asciiTheme="majorHAnsi" w:hAnsiTheme="majorHAnsi" w:cstheme="majorHAnsi"/>
          <w:lang w:val="hr-HR"/>
        </w:rPr>
        <w:t>Također veliku ulogu ima i u provođenju Financijskih instrumenata iz različitih izvora.</w:t>
      </w:r>
    </w:p>
    <w:p w14:paraId="3A154712" w14:textId="77777777" w:rsidR="0074593D" w:rsidRPr="002D27AB" w:rsidRDefault="0074593D">
      <w:pPr>
        <w:rPr>
          <w:rStyle w:val="fontstyle01"/>
          <w:rFonts w:asciiTheme="majorHAnsi" w:hAnsiTheme="majorHAnsi" w:cstheme="majorHAnsi"/>
          <w:lang w:val="hr-HR"/>
        </w:rPr>
      </w:pPr>
      <w:r w:rsidRPr="002D27AB">
        <w:rPr>
          <w:rStyle w:val="fontstyle01"/>
          <w:rFonts w:asciiTheme="majorHAnsi" w:hAnsiTheme="majorHAnsi" w:cstheme="majorHAnsi"/>
          <w:lang w:val="hr-HR"/>
        </w:rPr>
        <w:br w:type="page"/>
      </w:r>
    </w:p>
    <w:p w14:paraId="55FC846D" w14:textId="77777777" w:rsidR="00D3150E" w:rsidRPr="002D27AB" w:rsidRDefault="00D3150E" w:rsidP="00D3150E">
      <w:pPr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</w:p>
    <w:p w14:paraId="4A49C6D8" w14:textId="77777777" w:rsidR="00A76483" w:rsidRPr="002D27AB" w:rsidRDefault="00A76483" w:rsidP="00D3150E">
      <w:pPr>
        <w:jc w:val="both"/>
        <w:outlineLvl w:val="0"/>
        <w:rPr>
          <w:rFonts w:asciiTheme="majorHAnsi" w:hAnsiTheme="majorHAnsi" w:cstheme="majorHAnsi"/>
          <w:b/>
          <w:i/>
          <w:u w:val="single"/>
          <w:lang w:val="hr-HR"/>
        </w:rPr>
      </w:pPr>
    </w:p>
    <w:p w14:paraId="122451F2" w14:textId="77777777" w:rsidR="00950AB6" w:rsidRPr="002D27AB" w:rsidRDefault="00950AB6" w:rsidP="008972F4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16685DCD" w14:textId="77777777" w:rsidR="00950AB6" w:rsidRPr="002D27AB" w:rsidRDefault="00950AB6" w:rsidP="008972F4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noProof/>
          <w:sz w:val="22"/>
          <w:szCs w:val="22"/>
          <w:u w:val="single"/>
        </w:rPr>
      </w:pPr>
      <w:r w:rsidRPr="002D27AB">
        <w:rPr>
          <w:rFonts w:asciiTheme="majorHAnsi" w:hAnsiTheme="majorHAnsi" w:cstheme="majorHAnsi"/>
          <w:b/>
          <w:noProof/>
          <w:sz w:val="22"/>
          <w:szCs w:val="22"/>
          <w:u w:val="single"/>
        </w:rPr>
        <w:t xml:space="preserve">Bilješke uz </w:t>
      </w:r>
      <w:r w:rsidR="006B7797" w:rsidRPr="002D27AB">
        <w:rPr>
          <w:rFonts w:asciiTheme="majorHAnsi" w:hAnsiTheme="majorHAnsi" w:cstheme="majorHAnsi"/>
          <w:b/>
          <w:noProof/>
          <w:sz w:val="22"/>
          <w:szCs w:val="22"/>
          <w:u w:val="single"/>
        </w:rPr>
        <w:t>Izvještaj PR-RAS</w:t>
      </w:r>
    </w:p>
    <w:p w14:paraId="3CE32D62" w14:textId="77777777" w:rsidR="00950AB6" w:rsidRPr="002D27AB" w:rsidRDefault="00950AB6" w:rsidP="008972F4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7250CD02" w14:textId="77777777" w:rsidR="00950AB6" w:rsidRPr="002D27AB" w:rsidRDefault="00950AB6" w:rsidP="00950AB6">
      <w:pPr>
        <w:pStyle w:val="Default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  <w:r w:rsidRPr="002D27AB">
        <w:rPr>
          <w:rFonts w:asciiTheme="majorHAnsi" w:hAnsiTheme="majorHAnsi" w:cstheme="majorHAnsi"/>
          <w:b/>
          <w:noProof/>
          <w:sz w:val="22"/>
          <w:szCs w:val="22"/>
        </w:rPr>
        <w:t>PRIHODI</w:t>
      </w:r>
    </w:p>
    <w:p w14:paraId="20D5BFB6" w14:textId="77777777" w:rsidR="00950AB6" w:rsidRPr="002D27AB" w:rsidRDefault="00950AB6" w:rsidP="00950AB6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noProof/>
          <w:sz w:val="22"/>
          <w:szCs w:val="22"/>
          <w:highlight w:val="yellow"/>
        </w:rPr>
      </w:pPr>
    </w:p>
    <w:p w14:paraId="432877DE" w14:textId="1891D3F8" w:rsidR="00950AB6" w:rsidRPr="002D27AB" w:rsidRDefault="00950AB6" w:rsidP="00862A83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2D27AB">
        <w:rPr>
          <w:rFonts w:asciiTheme="majorHAnsi" w:hAnsiTheme="majorHAnsi" w:cstheme="majorHAnsi"/>
          <w:noProof/>
          <w:sz w:val="22"/>
          <w:szCs w:val="22"/>
        </w:rPr>
        <w:t>U razdoblju od 01.01.</w:t>
      </w:r>
      <w:r w:rsidR="00381C0E" w:rsidRPr="002D27AB">
        <w:rPr>
          <w:rFonts w:asciiTheme="majorHAnsi" w:hAnsiTheme="majorHAnsi" w:cstheme="majorHAnsi"/>
          <w:noProof/>
          <w:sz w:val="22"/>
          <w:szCs w:val="22"/>
        </w:rPr>
        <w:t>202</w:t>
      </w:r>
      <w:r w:rsidR="004F2464" w:rsidRPr="002D27AB">
        <w:rPr>
          <w:rFonts w:asciiTheme="majorHAnsi" w:hAnsiTheme="majorHAnsi" w:cstheme="majorHAnsi"/>
          <w:noProof/>
          <w:sz w:val="22"/>
          <w:szCs w:val="22"/>
        </w:rPr>
        <w:t>2</w:t>
      </w:r>
      <w:r w:rsidR="00381C0E" w:rsidRPr="002D27AB">
        <w:rPr>
          <w:rFonts w:asciiTheme="majorHAnsi" w:hAnsiTheme="majorHAnsi" w:cstheme="majorHAnsi"/>
          <w:noProof/>
          <w:sz w:val="22"/>
          <w:szCs w:val="22"/>
        </w:rPr>
        <w:t xml:space="preserve">. </w:t>
      </w:r>
      <w:r w:rsidRPr="002D27AB">
        <w:rPr>
          <w:rFonts w:asciiTheme="majorHAnsi" w:hAnsiTheme="majorHAnsi" w:cstheme="majorHAnsi"/>
          <w:noProof/>
          <w:sz w:val="22"/>
          <w:szCs w:val="22"/>
        </w:rPr>
        <w:t>-</w:t>
      </w:r>
      <w:r w:rsidR="00381C0E" w:rsidRPr="002D27AB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2D27AB">
        <w:rPr>
          <w:rFonts w:asciiTheme="majorHAnsi" w:hAnsiTheme="majorHAnsi" w:cstheme="majorHAnsi"/>
          <w:noProof/>
          <w:sz w:val="22"/>
          <w:szCs w:val="22"/>
        </w:rPr>
        <w:t>3</w:t>
      </w:r>
      <w:r w:rsidR="00B4320B" w:rsidRPr="002D27AB">
        <w:rPr>
          <w:rFonts w:asciiTheme="majorHAnsi" w:hAnsiTheme="majorHAnsi" w:cstheme="majorHAnsi"/>
          <w:noProof/>
          <w:sz w:val="22"/>
          <w:szCs w:val="22"/>
        </w:rPr>
        <w:t>1</w:t>
      </w:r>
      <w:r w:rsidRPr="002D27AB">
        <w:rPr>
          <w:rFonts w:asciiTheme="majorHAnsi" w:hAnsiTheme="majorHAnsi" w:cstheme="majorHAnsi"/>
          <w:noProof/>
          <w:sz w:val="22"/>
          <w:szCs w:val="22"/>
        </w:rPr>
        <w:t>.</w:t>
      </w:r>
      <w:r w:rsidR="00B4320B" w:rsidRPr="002D27AB">
        <w:rPr>
          <w:rFonts w:asciiTheme="majorHAnsi" w:hAnsiTheme="majorHAnsi" w:cstheme="majorHAnsi"/>
          <w:noProof/>
          <w:sz w:val="22"/>
          <w:szCs w:val="22"/>
        </w:rPr>
        <w:t>12</w:t>
      </w:r>
      <w:r w:rsidR="00EF7189" w:rsidRPr="002D27AB">
        <w:rPr>
          <w:rFonts w:asciiTheme="majorHAnsi" w:hAnsiTheme="majorHAnsi" w:cstheme="majorHAnsi"/>
          <w:noProof/>
          <w:sz w:val="22"/>
          <w:szCs w:val="22"/>
        </w:rPr>
        <w:t>.20</w:t>
      </w:r>
      <w:r w:rsidR="001B3A4C" w:rsidRPr="002D27AB">
        <w:rPr>
          <w:rFonts w:asciiTheme="majorHAnsi" w:hAnsiTheme="majorHAnsi" w:cstheme="majorHAnsi"/>
          <w:noProof/>
          <w:sz w:val="22"/>
          <w:szCs w:val="22"/>
        </w:rPr>
        <w:t>2</w:t>
      </w:r>
      <w:r w:rsidR="004F2464" w:rsidRPr="002D27AB">
        <w:rPr>
          <w:rFonts w:asciiTheme="majorHAnsi" w:hAnsiTheme="majorHAnsi" w:cstheme="majorHAnsi"/>
          <w:noProof/>
          <w:sz w:val="22"/>
          <w:szCs w:val="22"/>
        </w:rPr>
        <w:t>2</w:t>
      </w:r>
      <w:r w:rsidRPr="002D27AB">
        <w:rPr>
          <w:rFonts w:asciiTheme="majorHAnsi" w:hAnsiTheme="majorHAnsi" w:cstheme="majorHAnsi"/>
          <w:noProof/>
          <w:sz w:val="22"/>
          <w:szCs w:val="22"/>
        </w:rPr>
        <w:t xml:space="preserve">. godine ostvareni su ukupni prihodi </w:t>
      </w:r>
      <w:r w:rsidR="0055009D" w:rsidRPr="002D27AB">
        <w:rPr>
          <w:rFonts w:asciiTheme="majorHAnsi" w:hAnsiTheme="majorHAnsi" w:cstheme="majorHAnsi"/>
          <w:noProof/>
          <w:sz w:val="22"/>
          <w:szCs w:val="22"/>
        </w:rPr>
        <w:t>poslovanja (</w:t>
      </w:r>
      <w:r w:rsidR="00E33522" w:rsidRPr="002D27AB">
        <w:rPr>
          <w:rFonts w:asciiTheme="majorHAnsi" w:hAnsiTheme="majorHAnsi" w:cstheme="majorHAnsi"/>
          <w:noProof/>
          <w:sz w:val="22"/>
          <w:szCs w:val="22"/>
        </w:rPr>
        <w:t>6</w:t>
      </w:r>
      <w:r w:rsidR="0055009D" w:rsidRPr="002D27AB">
        <w:rPr>
          <w:rFonts w:asciiTheme="majorHAnsi" w:hAnsiTheme="majorHAnsi" w:cstheme="majorHAnsi"/>
          <w:noProof/>
          <w:sz w:val="22"/>
          <w:szCs w:val="22"/>
        </w:rPr>
        <w:t xml:space="preserve">) </w:t>
      </w:r>
      <w:r w:rsidRPr="002D27AB">
        <w:rPr>
          <w:rFonts w:asciiTheme="majorHAnsi" w:hAnsiTheme="majorHAnsi" w:cstheme="majorHAnsi"/>
          <w:noProof/>
          <w:sz w:val="22"/>
          <w:szCs w:val="22"/>
        </w:rPr>
        <w:t xml:space="preserve">u iznosu od  </w:t>
      </w:r>
      <w:r w:rsidR="00014FD1" w:rsidRPr="002D27AB">
        <w:rPr>
          <w:rFonts w:asciiTheme="majorHAnsi" w:eastAsia="Calibri" w:hAnsiTheme="majorHAnsi" w:cstheme="majorHAnsi"/>
          <w:noProof/>
          <w:sz w:val="22"/>
          <w:szCs w:val="22"/>
        </w:rPr>
        <w:t>3</w:t>
      </w:r>
      <w:r w:rsidR="004B5B3F" w:rsidRPr="002D27AB">
        <w:rPr>
          <w:rFonts w:asciiTheme="majorHAnsi" w:eastAsia="Calibri" w:hAnsiTheme="majorHAnsi" w:cstheme="majorHAnsi"/>
          <w:noProof/>
          <w:sz w:val="22"/>
          <w:szCs w:val="22"/>
        </w:rPr>
        <w:t>51</w:t>
      </w:r>
      <w:r w:rsidR="00014FD1" w:rsidRPr="002D27AB">
        <w:rPr>
          <w:rFonts w:asciiTheme="majorHAnsi" w:eastAsia="Calibri" w:hAnsiTheme="majorHAnsi" w:cstheme="majorHAnsi"/>
          <w:noProof/>
          <w:sz w:val="22"/>
          <w:szCs w:val="22"/>
        </w:rPr>
        <w:t>.</w:t>
      </w:r>
      <w:r w:rsidR="004B5B3F" w:rsidRPr="002D27AB">
        <w:rPr>
          <w:rFonts w:asciiTheme="majorHAnsi" w:eastAsia="Calibri" w:hAnsiTheme="majorHAnsi" w:cstheme="majorHAnsi"/>
          <w:noProof/>
          <w:sz w:val="22"/>
          <w:szCs w:val="22"/>
        </w:rPr>
        <w:t>749</w:t>
      </w:r>
      <w:r w:rsidR="00014FD1" w:rsidRPr="002D27AB">
        <w:rPr>
          <w:rFonts w:asciiTheme="majorHAnsi" w:eastAsia="Calibri" w:hAnsiTheme="majorHAnsi" w:cstheme="majorHAnsi"/>
          <w:noProof/>
          <w:sz w:val="22"/>
          <w:szCs w:val="22"/>
        </w:rPr>
        <w:t>.</w:t>
      </w:r>
      <w:r w:rsidR="004B5B3F" w:rsidRPr="002D27AB">
        <w:rPr>
          <w:rFonts w:asciiTheme="majorHAnsi" w:eastAsia="Calibri" w:hAnsiTheme="majorHAnsi" w:cstheme="majorHAnsi"/>
          <w:noProof/>
          <w:sz w:val="22"/>
          <w:szCs w:val="22"/>
        </w:rPr>
        <w:t>985</w:t>
      </w:r>
      <w:r w:rsidR="003D5542" w:rsidRPr="002D27AB">
        <w:rPr>
          <w:rFonts w:asciiTheme="majorHAnsi" w:eastAsia="Calibri" w:hAnsiTheme="majorHAnsi" w:cstheme="majorHAnsi"/>
          <w:noProof/>
          <w:sz w:val="22"/>
          <w:szCs w:val="22"/>
        </w:rPr>
        <w:t xml:space="preserve"> </w:t>
      </w:r>
      <w:r w:rsidRPr="002D27AB">
        <w:rPr>
          <w:rFonts w:asciiTheme="majorHAnsi" w:hAnsiTheme="majorHAnsi" w:cstheme="majorHAnsi"/>
          <w:noProof/>
          <w:sz w:val="22"/>
          <w:szCs w:val="22"/>
        </w:rPr>
        <w:t>kn</w:t>
      </w:r>
      <w:r w:rsidR="00D93362" w:rsidRPr="002D27AB">
        <w:rPr>
          <w:rFonts w:asciiTheme="majorHAnsi" w:hAnsiTheme="majorHAnsi" w:cstheme="majorHAnsi"/>
          <w:noProof/>
          <w:sz w:val="22"/>
          <w:szCs w:val="22"/>
        </w:rPr>
        <w:t>,</w:t>
      </w:r>
      <w:r w:rsidRPr="002D27AB">
        <w:rPr>
          <w:rFonts w:asciiTheme="majorHAnsi" w:hAnsiTheme="majorHAnsi" w:cstheme="majorHAnsi"/>
          <w:noProof/>
          <w:sz w:val="22"/>
          <w:szCs w:val="22"/>
        </w:rPr>
        <w:t xml:space="preserve"> a odnose </w:t>
      </w:r>
      <w:r w:rsidR="00EF7189" w:rsidRPr="002D27AB">
        <w:rPr>
          <w:rFonts w:asciiTheme="majorHAnsi" w:hAnsiTheme="majorHAnsi" w:cstheme="majorHAnsi"/>
          <w:noProof/>
          <w:sz w:val="22"/>
          <w:szCs w:val="22"/>
        </w:rPr>
        <w:t xml:space="preserve">se </w:t>
      </w:r>
      <w:r w:rsidRPr="002D27AB">
        <w:rPr>
          <w:rFonts w:asciiTheme="majorHAnsi" w:hAnsiTheme="majorHAnsi" w:cstheme="majorHAnsi"/>
          <w:noProof/>
          <w:sz w:val="22"/>
          <w:szCs w:val="22"/>
        </w:rPr>
        <w:t xml:space="preserve">na </w:t>
      </w:r>
      <w:r w:rsidR="001E4F3E" w:rsidRPr="002D27AB">
        <w:rPr>
          <w:rFonts w:asciiTheme="majorHAnsi" w:hAnsiTheme="majorHAnsi" w:cstheme="majorHAnsi"/>
          <w:noProof/>
          <w:sz w:val="22"/>
          <w:szCs w:val="22"/>
        </w:rPr>
        <w:t xml:space="preserve">sljedeća </w:t>
      </w:r>
      <w:r w:rsidRPr="002D27AB">
        <w:rPr>
          <w:rFonts w:asciiTheme="majorHAnsi" w:hAnsiTheme="majorHAnsi" w:cstheme="majorHAnsi"/>
          <w:noProof/>
          <w:sz w:val="22"/>
          <w:szCs w:val="22"/>
        </w:rPr>
        <w:t>sredstva:</w:t>
      </w:r>
    </w:p>
    <w:p w14:paraId="0A8CC47A" w14:textId="77777777" w:rsidR="001C7482" w:rsidRPr="002D27AB" w:rsidRDefault="001C7482" w:rsidP="00862A83">
      <w:pPr>
        <w:pStyle w:val="Default"/>
        <w:shd w:val="clear" w:color="auto" w:fill="FFFFFF"/>
        <w:spacing w:line="276" w:lineRule="auto"/>
        <w:jc w:val="both"/>
        <w:rPr>
          <w:rFonts w:asciiTheme="majorHAnsi" w:eastAsia="Calibri" w:hAnsiTheme="majorHAnsi" w:cstheme="majorHAnsi"/>
          <w:noProof/>
          <w:sz w:val="22"/>
          <w:szCs w:val="22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2520"/>
        <w:gridCol w:w="1840"/>
        <w:gridCol w:w="1900"/>
        <w:gridCol w:w="960"/>
      </w:tblGrid>
      <w:tr w:rsidR="00CB3097" w:rsidRPr="002D27AB" w14:paraId="097527DA" w14:textId="77777777" w:rsidTr="00CB3097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7B28" w14:textId="77777777" w:rsidR="00CB3097" w:rsidRPr="002D27AB" w:rsidRDefault="00CB3097" w:rsidP="00CB3097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  <w:t>Prihodi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726" w14:textId="77777777" w:rsidR="00CB3097" w:rsidRPr="002D27AB" w:rsidRDefault="00CB3097" w:rsidP="00CB3097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  <w:t>Ostvareno u 2021.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993" w14:textId="77777777" w:rsidR="00CB3097" w:rsidRPr="002D27AB" w:rsidRDefault="00CB3097" w:rsidP="00CB3097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  <w:t>Ostvareno u 2022.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4BBCA" w14:textId="77777777" w:rsidR="00CB3097" w:rsidRPr="002D27AB" w:rsidRDefault="00CB3097" w:rsidP="00CB3097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  <w:t>Indeks</w:t>
            </w:r>
          </w:p>
        </w:tc>
      </w:tr>
      <w:tr w:rsidR="00CB3097" w:rsidRPr="002D27AB" w14:paraId="78283525" w14:textId="77777777" w:rsidTr="00E33522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8639" w14:textId="7ABDDB06" w:rsidR="00CB3097" w:rsidRPr="002D27AB" w:rsidRDefault="00CB3097" w:rsidP="00CB3097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  <w:t>PRIHODI POSLOVANJA (</w:t>
            </w:r>
            <w:r w:rsidR="00E33522" w:rsidRPr="002D27AB"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  <w:t>6</w:t>
            </w:r>
            <w:r w:rsidRPr="002D27AB"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231B" w14:textId="6FD33060" w:rsidR="00CB3097" w:rsidRPr="002D27AB" w:rsidRDefault="00E33522" w:rsidP="00E33522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308.768.728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99F4" w14:textId="415F0D34" w:rsidR="00CB3097" w:rsidRPr="002D27AB" w:rsidRDefault="00E33522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351.749.98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69E2A3" w14:textId="53DD27EC" w:rsidR="00CB3097" w:rsidRPr="002D27AB" w:rsidRDefault="00E33522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113,9</w:t>
            </w:r>
          </w:p>
        </w:tc>
      </w:tr>
      <w:tr w:rsidR="00CB3097" w:rsidRPr="002D27AB" w14:paraId="0D72EFCB" w14:textId="77777777" w:rsidTr="00E33522">
        <w:trPr>
          <w:trHeight w:val="9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B38B" w14:textId="1F3E8462" w:rsidR="00CB3097" w:rsidRPr="002D27AB" w:rsidRDefault="00D22DDC" w:rsidP="00CB3097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Pomoći iz inozemstva i od subjekata unutar općeg proračuna (63)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B2F0" w14:textId="32BEAA5C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257.710.961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7A0D" w14:textId="691FF1B6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268.520.595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B2EE5" w14:textId="1A29CB5C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104,2</w:t>
            </w:r>
          </w:p>
        </w:tc>
      </w:tr>
      <w:tr w:rsidR="00CB3097" w:rsidRPr="002D27AB" w14:paraId="6019A5FA" w14:textId="77777777" w:rsidTr="00E33522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081B" w14:textId="3384F4FB" w:rsidR="00CB3097" w:rsidRPr="002D27AB" w:rsidRDefault="00CB3097" w:rsidP="00CB3097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Prihodi od imovine (</w:t>
            </w:r>
            <w:r w:rsidR="00D22DDC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64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A09E" w14:textId="116E025E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8.270.754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98B4" w14:textId="3030D116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13.574.899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6DF9EC" w14:textId="41BD7A16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164,1</w:t>
            </w:r>
          </w:p>
        </w:tc>
      </w:tr>
      <w:tr w:rsidR="00CB3097" w:rsidRPr="002D27AB" w14:paraId="6B9FAD53" w14:textId="77777777" w:rsidTr="00E33522">
        <w:trPr>
          <w:trHeight w:val="12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6074" w14:textId="63AF248D" w:rsidR="00CB3097" w:rsidRPr="002D27AB" w:rsidRDefault="00CB3097" w:rsidP="00CB3097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Prihodi iz nadležnog proračuna i  od HZZO-a na temelju ugovornih obveza  (</w:t>
            </w:r>
            <w:r w:rsidR="00D22DDC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67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2CE9" w14:textId="653BE3F3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42.787.013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E0A1" w14:textId="78ED909A" w:rsidR="00D22DDC" w:rsidRPr="002D27AB" w:rsidRDefault="00D22DDC" w:rsidP="00D22DDC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69.528.044</w:t>
            </w:r>
            <w:r w:rsidR="00D057D3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F4F3D" w14:textId="0B0B99AE" w:rsidR="00CB3097" w:rsidRPr="002D27AB" w:rsidRDefault="00D22DDC" w:rsidP="00CB3097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162,5</w:t>
            </w:r>
          </w:p>
        </w:tc>
      </w:tr>
    </w:tbl>
    <w:p w14:paraId="3668086B" w14:textId="05EF4CEE" w:rsidR="00950AB6" w:rsidRPr="002D27AB" w:rsidRDefault="00950AB6" w:rsidP="00950AB6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2D27AB">
        <w:rPr>
          <w:rFonts w:asciiTheme="majorHAnsi" w:hAnsiTheme="majorHAnsi" w:cstheme="majorHAnsi"/>
          <w:noProof/>
          <w:sz w:val="22"/>
          <w:szCs w:val="22"/>
        </w:rPr>
        <w:tab/>
      </w:r>
      <w:r w:rsidRPr="002D27AB">
        <w:rPr>
          <w:rFonts w:asciiTheme="majorHAnsi" w:hAnsiTheme="majorHAnsi" w:cstheme="majorHAnsi"/>
          <w:noProof/>
          <w:sz w:val="22"/>
          <w:szCs w:val="22"/>
        </w:rPr>
        <w:tab/>
      </w:r>
      <w:r w:rsidRPr="002D27AB">
        <w:rPr>
          <w:rFonts w:asciiTheme="majorHAnsi" w:hAnsiTheme="majorHAnsi" w:cstheme="majorHAnsi"/>
          <w:noProof/>
          <w:sz w:val="22"/>
          <w:szCs w:val="22"/>
        </w:rPr>
        <w:tab/>
      </w:r>
      <w:r w:rsidRPr="002D27AB">
        <w:rPr>
          <w:rFonts w:asciiTheme="majorHAnsi" w:hAnsiTheme="majorHAnsi" w:cstheme="majorHAnsi"/>
          <w:noProof/>
          <w:sz w:val="22"/>
          <w:szCs w:val="22"/>
        </w:rPr>
        <w:tab/>
      </w:r>
      <w:r w:rsidRPr="002D27AB">
        <w:rPr>
          <w:rFonts w:asciiTheme="majorHAnsi" w:hAnsiTheme="majorHAnsi" w:cstheme="majorHAnsi"/>
          <w:noProof/>
          <w:sz w:val="22"/>
          <w:szCs w:val="22"/>
        </w:rPr>
        <w:tab/>
      </w:r>
      <w:r w:rsidRPr="002D27AB">
        <w:rPr>
          <w:rFonts w:asciiTheme="majorHAnsi" w:hAnsiTheme="majorHAnsi" w:cstheme="majorHAnsi"/>
          <w:noProof/>
          <w:sz w:val="22"/>
          <w:szCs w:val="22"/>
        </w:rPr>
        <w:tab/>
      </w:r>
      <w:r w:rsidRPr="002D27AB">
        <w:rPr>
          <w:rFonts w:asciiTheme="majorHAnsi" w:hAnsiTheme="majorHAnsi" w:cstheme="majorHAnsi"/>
          <w:noProof/>
          <w:sz w:val="22"/>
          <w:szCs w:val="22"/>
        </w:rPr>
        <w:tab/>
      </w:r>
      <w:r w:rsidRPr="002D27AB">
        <w:rPr>
          <w:rFonts w:asciiTheme="majorHAnsi" w:hAnsiTheme="majorHAnsi" w:cstheme="majorHAnsi"/>
          <w:noProof/>
          <w:sz w:val="22"/>
          <w:szCs w:val="22"/>
        </w:rPr>
        <w:tab/>
        <w:t xml:space="preserve"> </w:t>
      </w:r>
    </w:p>
    <w:p w14:paraId="10E00990" w14:textId="6B93D57B" w:rsidR="00AC5200" w:rsidRDefault="00E71E96" w:rsidP="00584610">
      <w:pPr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Prihodi od pomoći iz inozemstva i od subjekata unutar općeg proračuna (</w:t>
      </w:r>
      <w:r w:rsidR="00D22DDC" w:rsidRPr="002D27AB">
        <w:rPr>
          <w:rFonts w:asciiTheme="majorHAnsi" w:hAnsiTheme="majorHAnsi" w:cstheme="majorHAnsi"/>
          <w:lang w:val="hr-HR"/>
        </w:rPr>
        <w:t>63</w:t>
      </w:r>
      <w:r w:rsidRPr="002D27AB">
        <w:rPr>
          <w:rFonts w:asciiTheme="majorHAnsi" w:hAnsiTheme="majorHAnsi" w:cstheme="majorHAnsi"/>
          <w:lang w:val="hr-HR"/>
        </w:rPr>
        <w:t>) u odnosu na 20</w:t>
      </w:r>
      <w:r w:rsidR="0055009D" w:rsidRPr="002D27AB">
        <w:rPr>
          <w:rFonts w:asciiTheme="majorHAnsi" w:hAnsiTheme="majorHAnsi" w:cstheme="majorHAnsi"/>
          <w:lang w:val="hr-HR"/>
        </w:rPr>
        <w:t>2</w:t>
      </w:r>
      <w:r w:rsidR="00D22DDC" w:rsidRPr="002D27AB">
        <w:rPr>
          <w:rFonts w:asciiTheme="majorHAnsi" w:hAnsiTheme="majorHAnsi" w:cstheme="majorHAnsi"/>
          <w:lang w:val="hr-HR"/>
        </w:rPr>
        <w:t>1</w:t>
      </w:r>
      <w:r w:rsidRPr="002D27AB">
        <w:rPr>
          <w:rFonts w:asciiTheme="majorHAnsi" w:hAnsiTheme="majorHAnsi" w:cstheme="majorHAnsi"/>
          <w:lang w:val="hr-HR"/>
        </w:rPr>
        <w:t xml:space="preserve">. godinu </w:t>
      </w:r>
      <w:r w:rsidR="00791156" w:rsidRPr="002D27AB">
        <w:rPr>
          <w:rFonts w:asciiTheme="majorHAnsi" w:hAnsiTheme="majorHAnsi" w:cstheme="majorHAnsi"/>
          <w:lang w:val="hr-HR"/>
        </w:rPr>
        <w:t xml:space="preserve">uvećani su za </w:t>
      </w:r>
      <w:r w:rsidRPr="002D27AB">
        <w:rPr>
          <w:rFonts w:asciiTheme="majorHAnsi" w:hAnsiTheme="majorHAnsi" w:cstheme="majorHAnsi"/>
          <w:lang w:val="hr-HR"/>
        </w:rPr>
        <w:t xml:space="preserve"> </w:t>
      </w:r>
      <w:r w:rsidR="00D22DDC" w:rsidRPr="002D27AB">
        <w:rPr>
          <w:rFonts w:asciiTheme="majorHAnsi" w:hAnsiTheme="majorHAnsi" w:cstheme="majorHAnsi"/>
          <w:lang w:val="hr-HR"/>
        </w:rPr>
        <w:t>13,9</w:t>
      </w:r>
      <w:r w:rsidR="00900218" w:rsidRPr="002D27AB">
        <w:rPr>
          <w:rFonts w:asciiTheme="majorHAnsi" w:hAnsiTheme="majorHAnsi" w:cstheme="majorHAnsi"/>
          <w:lang w:val="hr-HR"/>
        </w:rPr>
        <w:t xml:space="preserve"> </w:t>
      </w:r>
      <w:r w:rsidR="00F73232" w:rsidRPr="002D27AB">
        <w:rPr>
          <w:rFonts w:asciiTheme="majorHAnsi" w:hAnsiTheme="majorHAnsi" w:cstheme="majorHAnsi"/>
          <w:lang w:val="hr-HR"/>
        </w:rPr>
        <w:t>%</w:t>
      </w:r>
      <w:r w:rsidRPr="002D27AB">
        <w:rPr>
          <w:rFonts w:asciiTheme="majorHAnsi" w:hAnsiTheme="majorHAnsi" w:cstheme="majorHAnsi"/>
          <w:lang w:val="hr-HR"/>
        </w:rPr>
        <w:t xml:space="preserve"> </w:t>
      </w:r>
      <w:r w:rsidR="0074593D" w:rsidRPr="002D27AB">
        <w:rPr>
          <w:rFonts w:asciiTheme="majorHAnsi" w:hAnsiTheme="majorHAnsi" w:cstheme="majorHAnsi"/>
          <w:lang w:val="hr-HR"/>
        </w:rPr>
        <w:t>. Do povećanja je došlo zbog veće apsorpcije EU sredstava.</w:t>
      </w:r>
    </w:p>
    <w:p w14:paraId="738B9ACB" w14:textId="77777777" w:rsidR="002B5AEE" w:rsidRDefault="002B5AEE" w:rsidP="00584610">
      <w:pPr>
        <w:jc w:val="both"/>
        <w:rPr>
          <w:rFonts w:asciiTheme="majorHAnsi" w:hAnsiTheme="majorHAnsi" w:cstheme="majorHAnsi"/>
          <w:lang w:val="hr-HR"/>
        </w:rPr>
      </w:pPr>
    </w:p>
    <w:p w14:paraId="2171C446" w14:textId="3690FECC" w:rsidR="00CE469B" w:rsidRPr="002D27AB" w:rsidRDefault="00CE469B" w:rsidP="0058461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Prihodi od imovine (64) su uvećani za 64,1 % u odnosu na prethodnu godinu </w:t>
      </w:r>
      <w:r w:rsidR="00EE5F1A">
        <w:rPr>
          <w:rFonts w:asciiTheme="majorHAnsi" w:hAnsiTheme="majorHAnsi" w:cstheme="majorHAnsi"/>
          <w:lang w:val="hr-HR"/>
        </w:rPr>
        <w:t xml:space="preserve">najvećim dijelom uslijed </w:t>
      </w:r>
      <w:r w:rsidR="00E7442F">
        <w:rPr>
          <w:rFonts w:asciiTheme="majorHAnsi" w:hAnsiTheme="majorHAnsi" w:cstheme="majorHAnsi"/>
          <w:lang w:val="hr-HR"/>
        </w:rPr>
        <w:t xml:space="preserve">redovnih i </w:t>
      </w:r>
      <w:r w:rsidR="00EE5F1A">
        <w:rPr>
          <w:rFonts w:asciiTheme="majorHAnsi" w:hAnsiTheme="majorHAnsi" w:cstheme="majorHAnsi"/>
          <w:lang w:val="hr-HR"/>
        </w:rPr>
        <w:t>zakonskih zateznih kamata na dospjele obveze koje se odnose na zajmove i jamstva.</w:t>
      </w:r>
      <w:r>
        <w:rPr>
          <w:rFonts w:asciiTheme="majorHAnsi" w:hAnsiTheme="majorHAnsi" w:cstheme="majorHAnsi"/>
          <w:lang w:val="hr-HR"/>
        </w:rPr>
        <w:t xml:space="preserve"> </w:t>
      </w:r>
    </w:p>
    <w:p w14:paraId="1932DB88" w14:textId="77777777" w:rsidR="002B5AEE" w:rsidRDefault="002B5AEE" w:rsidP="00584610">
      <w:pPr>
        <w:jc w:val="both"/>
        <w:rPr>
          <w:rFonts w:asciiTheme="majorHAnsi" w:hAnsiTheme="majorHAnsi" w:cstheme="majorHAnsi"/>
          <w:lang w:val="hr-HR"/>
        </w:rPr>
      </w:pPr>
    </w:p>
    <w:p w14:paraId="00E9C7C0" w14:textId="545FD136" w:rsidR="009039E6" w:rsidRPr="002D27AB" w:rsidRDefault="008449E2" w:rsidP="00584610">
      <w:pPr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Prihodi iz nadležnog proračuna</w:t>
      </w:r>
      <w:r w:rsidR="002B5AEE">
        <w:rPr>
          <w:rFonts w:asciiTheme="majorHAnsi" w:hAnsiTheme="majorHAnsi" w:cstheme="majorHAnsi"/>
          <w:lang w:val="hr-HR"/>
        </w:rPr>
        <w:t xml:space="preserve"> </w:t>
      </w:r>
      <w:r w:rsidR="00900218" w:rsidRPr="002D27AB">
        <w:rPr>
          <w:rFonts w:asciiTheme="majorHAnsi" w:hAnsiTheme="majorHAnsi" w:cstheme="majorHAnsi"/>
          <w:lang w:val="hr-HR"/>
        </w:rPr>
        <w:t>i o</w:t>
      </w:r>
      <w:r w:rsidR="0074593D" w:rsidRPr="002D27AB">
        <w:rPr>
          <w:rFonts w:asciiTheme="majorHAnsi" w:hAnsiTheme="majorHAnsi" w:cstheme="majorHAnsi"/>
          <w:lang w:val="hr-HR"/>
        </w:rPr>
        <w:t>d</w:t>
      </w:r>
      <w:r w:rsidR="00900218" w:rsidRPr="002D27AB">
        <w:rPr>
          <w:rFonts w:asciiTheme="majorHAnsi" w:hAnsiTheme="majorHAnsi" w:cstheme="majorHAnsi"/>
          <w:lang w:val="hr-HR"/>
        </w:rPr>
        <w:t xml:space="preserve"> HZZO-a na temelju ugovornih obveza </w:t>
      </w:r>
      <w:r w:rsidRPr="002D27AB">
        <w:rPr>
          <w:rFonts w:asciiTheme="majorHAnsi" w:hAnsiTheme="majorHAnsi" w:cstheme="majorHAnsi"/>
          <w:lang w:val="hr-HR"/>
        </w:rPr>
        <w:t>(</w:t>
      </w:r>
      <w:r w:rsidR="00D22DDC" w:rsidRPr="002D27AB">
        <w:rPr>
          <w:rFonts w:asciiTheme="majorHAnsi" w:hAnsiTheme="majorHAnsi" w:cstheme="majorHAnsi"/>
          <w:lang w:val="hr-HR"/>
        </w:rPr>
        <w:t>67</w:t>
      </w:r>
      <w:r w:rsidRPr="002D27AB">
        <w:rPr>
          <w:rFonts w:asciiTheme="majorHAnsi" w:hAnsiTheme="majorHAnsi" w:cstheme="majorHAnsi"/>
          <w:lang w:val="hr-HR"/>
        </w:rPr>
        <w:t xml:space="preserve">) </w:t>
      </w:r>
      <w:r w:rsidR="00D22DDC" w:rsidRPr="002D27AB">
        <w:rPr>
          <w:rFonts w:asciiTheme="majorHAnsi" w:hAnsiTheme="majorHAnsi" w:cstheme="majorHAnsi"/>
          <w:lang w:val="hr-HR"/>
        </w:rPr>
        <w:t xml:space="preserve">uvećani su za </w:t>
      </w:r>
      <w:r w:rsidR="00305D09">
        <w:rPr>
          <w:rFonts w:asciiTheme="majorHAnsi" w:hAnsiTheme="majorHAnsi" w:cstheme="majorHAnsi"/>
          <w:lang w:val="hr-HR"/>
        </w:rPr>
        <w:t>62,5</w:t>
      </w:r>
      <w:r w:rsidR="00D22DDC" w:rsidRPr="002D27AB">
        <w:rPr>
          <w:rFonts w:asciiTheme="majorHAnsi" w:hAnsiTheme="majorHAnsi" w:cstheme="majorHAnsi"/>
          <w:lang w:val="hr-HR"/>
        </w:rPr>
        <w:t xml:space="preserve"> </w:t>
      </w:r>
      <w:r w:rsidRPr="002D27AB">
        <w:rPr>
          <w:rFonts w:asciiTheme="majorHAnsi" w:hAnsiTheme="majorHAnsi" w:cstheme="majorHAnsi"/>
          <w:lang w:val="hr-HR"/>
        </w:rPr>
        <w:t>%</w:t>
      </w:r>
      <w:r w:rsidR="00B34932">
        <w:rPr>
          <w:rFonts w:asciiTheme="majorHAnsi" w:hAnsiTheme="majorHAnsi" w:cstheme="majorHAnsi"/>
          <w:lang w:val="hr-HR"/>
        </w:rPr>
        <w:t xml:space="preserve"> u odnosu na prethodnu godinu</w:t>
      </w:r>
      <w:r w:rsidR="00F32CDD" w:rsidRPr="002D27AB">
        <w:rPr>
          <w:rFonts w:asciiTheme="majorHAnsi" w:hAnsiTheme="majorHAnsi" w:cstheme="majorHAnsi"/>
          <w:lang w:val="hr-HR"/>
        </w:rPr>
        <w:t xml:space="preserve">. </w:t>
      </w:r>
      <w:r w:rsidR="00D22DDC" w:rsidRPr="002D27AB">
        <w:rPr>
          <w:rFonts w:asciiTheme="majorHAnsi" w:hAnsiTheme="majorHAnsi" w:cstheme="majorHAnsi"/>
          <w:lang w:val="hr-HR"/>
        </w:rPr>
        <w:t>Poveća</w:t>
      </w:r>
      <w:r w:rsidR="00F32CDD" w:rsidRPr="002D27AB">
        <w:rPr>
          <w:rFonts w:asciiTheme="majorHAnsi" w:hAnsiTheme="majorHAnsi" w:cstheme="majorHAnsi"/>
          <w:lang w:val="hr-HR"/>
        </w:rPr>
        <w:t xml:space="preserve">nje se </w:t>
      </w:r>
      <w:r w:rsidR="002C3268" w:rsidRPr="002D27AB">
        <w:rPr>
          <w:rFonts w:asciiTheme="majorHAnsi" w:hAnsiTheme="majorHAnsi" w:cstheme="majorHAnsi"/>
          <w:lang w:val="hr-HR"/>
        </w:rPr>
        <w:t xml:space="preserve">u većem dijelu odnosi na prihode </w:t>
      </w:r>
      <w:r w:rsidR="00271D14">
        <w:rPr>
          <w:rFonts w:asciiTheme="majorHAnsi" w:hAnsiTheme="majorHAnsi" w:cstheme="majorHAnsi"/>
          <w:lang w:val="hr-HR"/>
        </w:rPr>
        <w:t>iz</w:t>
      </w:r>
      <w:r w:rsidR="002C3268" w:rsidRPr="002D27AB">
        <w:rPr>
          <w:rFonts w:asciiTheme="majorHAnsi" w:hAnsiTheme="majorHAnsi" w:cstheme="majorHAnsi"/>
          <w:lang w:val="hr-HR"/>
        </w:rPr>
        <w:t xml:space="preserve"> nadležnog proračuna za</w:t>
      </w:r>
      <w:r w:rsidR="003962F3" w:rsidRPr="002D27AB">
        <w:rPr>
          <w:rFonts w:asciiTheme="majorHAnsi" w:hAnsiTheme="majorHAnsi" w:cstheme="majorHAnsi"/>
          <w:lang w:val="hr-HR"/>
        </w:rPr>
        <w:t xml:space="preserve"> </w:t>
      </w:r>
      <w:r w:rsidR="003962F3" w:rsidRPr="002D27AB">
        <w:rPr>
          <w:rFonts w:asciiTheme="majorHAnsi" w:eastAsia="Times New Roman" w:hAnsiTheme="majorHAnsi" w:cstheme="majorHAnsi"/>
          <w:sz w:val="18"/>
          <w:szCs w:val="18"/>
          <w:lang w:val="hr-HR" w:eastAsia="hr-HR"/>
        </w:rPr>
        <w:t xml:space="preserve"> </w:t>
      </w:r>
      <w:r w:rsidR="003962F3" w:rsidRPr="002D27AB">
        <w:rPr>
          <w:rFonts w:asciiTheme="majorHAnsi" w:hAnsiTheme="majorHAnsi" w:cstheme="majorHAnsi"/>
          <w:lang w:val="hr-HR"/>
        </w:rPr>
        <w:t xml:space="preserve">financiranje rashoda </w:t>
      </w:r>
      <w:r w:rsidR="000B4270">
        <w:rPr>
          <w:rFonts w:asciiTheme="majorHAnsi" w:hAnsiTheme="majorHAnsi" w:cstheme="majorHAnsi"/>
          <w:lang w:val="hr-HR"/>
        </w:rPr>
        <w:t xml:space="preserve">plaće zaposlenika koji su sudjelovali u provedbi vrednovanja projekata u sklopu Nacionalnog plana oporavka i otpornosti (NPOO), </w:t>
      </w:r>
      <w:r w:rsidR="00271D14">
        <w:rPr>
          <w:rFonts w:asciiTheme="majorHAnsi" w:hAnsiTheme="majorHAnsi" w:cstheme="majorHAnsi"/>
          <w:lang w:val="hr-HR"/>
        </w:rPr>
        <w:t>z</w:t>
      </w:r>
      <w:r w:rsidR="003962F3" w:rsidRPr="002D27AB">
        <w:rPr>
          <w:rFonts w:asciiTheme="majorHAnsi" w:hAnsiTheme="majorHAnsi" w:cstheme="majorHAnsi"/>
          <w:lang w:val="hr-HR"/>
        </w:rPr>
        <w:t xml:space="preserve">a </w:t>
      </w:r>
      <w:r w:rsidR="00271D14">
        <w:rPr>
          <w:rFonts w:asciiTheme="majorHAnsi" w:hAnsiTheme="majorHAnsi" w:cstheme="majorHAnsi"/>
          <w:lang w:val="hr-HR"/>
        </w:rPr>
        <w:t>p</w:t>
      </w:r>
      <w:r w:rsidR="00271D14" w:rsidRPr="00271D14">
        <w:rPr>
          <w:rFonts w:asciiTheme="majorHAnsi" w:hAnsiTheme="majorHAnsi" w:cstheme="majorHAnsi"/>
          <w:lang w:val="hr-HR"/>
        </w:rPr>
        <w:t>rihod</w:t>
      </w:r>
      <w:r w:rsidR="00271D14">
        <w:rPr>
          <w:rFonts w:asciiTheme="majorHAnsi" w:hAnsiTheme="majorHAnsi" w:cstheme="majorHAnsi"/>
          <w:lang w:val="hr-HR"/>
        </w:rPr>
        <w:t>e</w:t>
      </w:r>
      <w:r w:rsidR="00271D14" w:rsidRPr="00271D14">
        <w:rPr>
          <w:rFonts w:asciiTheme="majorHAnsi" w:hAnsiTheme="majorHAnsi" w:cstheme="majorHAnsi"/>
          <w:lang w:val="hr-HR"/>
        </w:rPr>
        <w:t xml:space="preserve"> od nadležnog proračuna za financiranje izdataka za financijsku imovinu i  otplatu zajmova</w:t>
      </w:r>
      <w:r w:rsidR="002C3268" w:rsidRPr="002D27AB">
        <w:rPr>
          <w:rFonts w:asciiTheme="majorHAnsi" w:hAnsiTheme="majorHAnsi" w:cstheme="majorHAnsi"/>
          <w:lang w:val="hr-HR"/>
        </w:rPr>
        <w:t xml:space="preserve">. </w:t>
      </w:r>
    </w:p>
    <w:p w14:paraId="59DE0669" w14:textId="0D9451C0" w:rsidR="00EE5576" w:rsidRPr="002D27AB" w:rsidRDefault="00EE5576" w:rsidP="007D3B86">
      <w:pPr>
        <w:jc w:val="both"/>
        <w:rPr>
          <w:rFonts w:asciiTheme="majorHAnsi" w:hAnsiTheme="majorHAnsi" w:cstheme="majorHAnsi"/>
          <w:b/>
          <w:highlight w:val="yellow"/>
          <w:lang w:val="hr-HR"/>
        </w:rPr>
      </w:pPr>
    </w:p>
    <w:p w14:paraId="0E10DDD6" w14:textId="44B9A678" w:rsidR="0074593D" w:rsidRPr="002D27AB" w:rsidRDefault="0074593D">
      <w:pPr>
        <w:rPr>
          <w:rFonts w:asciiTheme="majorHAnsi" w:hAnsiTheme="majorHAnsi" w:cstheme="majorHAnsi"/>
          <w:b/>
          <w:highlight w:val="yellow"/>
          <w:lang w:val="hr-HR"/>
        </w:rPr>
      </w:pPr>
      <w:r w:rsidRPr="002D27AB">
        <w:rPr>
          <w:rFonts w:asciiTheme="majorHAnsi" w:hAnsiTheme="majorHAnsi" w:cstheme="majorHAnsi"/>
          <w:b/>
          <w:highlight w:val="yellow"/>
          <w:lang w:val="hr-HR"/>
        </w:rPr>
        <w:br w:type="page"/>
      </w:r>
    </w:p>
    <w:p w14:paraId="7071F58B" w14:textId="5EE5B9C0" w:rsidR="00FE1CBB" w:rsidRPr="002D27AB" w:rsidRDefault="00FE1CBB" w:rsidP="007D3B86">
      <w:pPr>
        <w:jc w:val="both"/>
        <w:rPr>
          <w:rFonts w:asciiTheme="majorHAnsi" w:hAnsiTheme="majorHAnsi" w:cstheme="majorHAnsi"/>
          <w:b/>
          <w:highlight w:val="yellow"/>
          <w:lang w:val="hr-HR"/>
        </w:rPr>
      </w:pPr>
    </w:p>
    <w:p w14:paraId="685E44B5" w14:textId="00DBE508" w:rsidR="001A122B" w:rsidRPr="002D27AB" w:rsidRDefault="001A122B" w:rsidP="00F353D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val="hr-HR"/>
        </w:rPr>
      </w:pPr>
      <w:r w:rsidRPr="002D27AB">
        <w:rPr>
          <w:rFonts w:asciiTheme="majorHAnsi" w:hAnsiTheme="majorHAnsi" w:cstheme="majorHAnsi"/>
          <w:b/>
          <w:lang w:val="hr-HR"/>
        </w:rPr>
        <w:t>RASHODI</w:t>
      </w:r>
    </w:p>
    <w:p w14:paraId="0EEE22ED" w14:textId="77777777" w:rsidR="00EF2459" w:rsidRPr="002D27AB" w:rsidRDefault="00EF2459" w:rsidP="00EF2459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b/>
          <w:lang w:val="hr-HR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2520"/>
        <w:gridCol w:w="1840"/>
        <w:gridCol w:w="1900"/>
        <w:gridCol w:w="960"/>
      </w:tblGrid>
      <w:tr w:rsidR="00EF2459" w:rsidRPr="002D27AB" w14:paraId="12EAE0F9" w14:textId="77777777" w:rsidTr="00EF245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73D" w14:textId="77777777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RASHODI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ECCA" w14:textId="4679DE11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Ostvareno u 202</w:t>
            </w:r>
            <w:r w:rsidR="00512839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F2F9" w14:textId="2BC30B95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Ostvareno u 202</w:t>
            </w:r>
            <w:r w:rsidR="00512839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32262" w14:textId="77777777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Indeks</w:t>
            </w:r>
          </w:p>
        </w:tc>
      </w:tr>
      <w:tr w:rsidR="00EF2459" w:rsidRPr="002D27AB" w14:paraId="5276E0B4" w14:textId="77777777" w:rsidTr="004B5B3F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5BFD" w14:textId="3DA7FFB2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Rashodi poslovanja (</w:t>
            </w:r>
            <w:r w:rsidR="004B5B3F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E734" w14:textId="20B0EED2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138.851.920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9E1F" w14:textId="681A075C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171.340.03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5,95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EB1C6" w14:textId="4B335478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123,4</w:t>
            </w:r>
          </w:p>
        </w:tc>
      </w:tr>
      <w:tr w:rsidR="00EF2459" w:rsidRPr="002D27AB" w14:paraId="5FF93559" w14:textId="77777777" w:rsidTr="004B5B3F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4942" w14:textId="266D828D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Rashodi za zaposlene (</w:t>
            </w:r>
            <w:r w:rsidR="004B5B3F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31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4A16" w14:textId="0C8FAA2F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53.608.068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0F10E" w14:textId="574DC20B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61.839.779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6C6F5E" w14:textId="18A8038C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115,4</w:t>
            </w:r>
          </w:p>
        </w:tc>
      </w:tr>
      <w:tr w:rsidR="00EF2459" w:rsidRPr="002D27AB" w14:paraId="7ED99E24" w14:textId="77777777" w:rsidTr="004B5B3F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8D1E" w14:textId="1317B909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Materijalni rashodi (</w:t>
            </w:r>
            <w:r w:rsidR="004B5B3F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32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A66B" w14:textId="447AB9A5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23.988.908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2DB7" w14:textId="352C8186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28.145.322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18CF7" w14:textId="2CDD2EFD" w:rsidR="00EF2459" w:rsidRPr="002D27AB" w:rsidRDefault="004B5B3F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117,3</w:t>
            </w:r>
          </w:p>
        </w:tc>
      </w:tr>
      <w:tr w:rsidR="00EF2459" w:rsidRPr="002D27AB" w14:paraId="5082BB74" w14:textId="77777777" w:rsidTr="004B5B3F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D70A" w14:textId="02F1AA29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Financijski rashodi (</w:t>
            </w:r>
            <w:r w:rsidR="0073231E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34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A686" w14:textId="2CE6AC43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15.901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4150" w14:textId="08AE28C9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36.206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D83B5" w14:textId="0EA38C45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227,7</w:t>
            </w:r>
          </w:p>
        </w:tc>
      </w:tr>
      <w:tr w:rsidR="00EF2459" w:rsidRPr="002D27AB" w14:paraId="72D9C793" w14:textId="77777777" w:rsidTr="004B5B3F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1EFE" w14:textId="3B20CE0B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Subvencije (</w:t>
            </w:r>
            <w:r w:rsidR="0073231E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35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C58D" w14:textId="005C7987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36.316.145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6C72" w14:textId="46114E7D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42.276.70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C70A0F" w14:textId="697C0D13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116,4</w:t>
            </w:r>
          </w:p>
        </w:tc>
      </w:tr>
      <w:tr w:rsidR="00EF2459" w:rsidRPr="002D27AB" w14:paraId="14E02D94" w14:textId="77777777" w:rsidTr="004B5B3F">
        <w:trPr>
          <w:trHeight w:val="9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4259" w14:textId="6F4A7E51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Pomoći dane u inozemstvo i un</w:t>
            </w:r>
            <w:r w:rsidR="0073231E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u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tar općeg proračuna (</w:t>
            </w:r>
            <w:r w:rsidR="0073231E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36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1232" w14:textId="18EDE2A7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3.981.448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D50B" w14:textId="2ED7A475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1.182.566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7C869" w14:textId="4EA79382" w:rsidR="00EF2459" w:rsidRPr="002D27AB" w:rsidRDefault="0073231E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29,7</w:t>
            </w:r>
          </w:p>
        </w:tc>
      </w:tr>
      <w:tr w:rsidR="00EF2459" w:rsidRPr="002D27AB" w14:paraId="68D3FE92" w14:textId="77777777" w:rsidTr="004B5B3F">
        <w:trPr>
          <w:trHeight w:val="9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3A8A" w14:textId="78F5AF74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Naknade građanima i kućanstvima u novcu (</w:t>
            </w:r>
            <w:r w:rsidR="009608F3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37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ADAE" w14:textId="4965DE91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160.563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6B545" w14:textId="2AFE8EEE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216.08</w:t>
            </w:r>
            <w:r w:rsidR="00584610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44CF5E" w14:textId="164D879D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134,6</w:t>
            </w:r>
          </w:p>
        </w:tc>
      </w:tr>
      <w:tr w:rsidR="00EF2459" w:rsidRPr="002D27AB" w14:paraId="464AE070" w14:textId="77777777" w:rsidTr="004B5B3F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1470" w14:textId="0A6C286A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Ostali rashodi (</w:t>
            </w:r>
            <w:r w:rsidR="009608F3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38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C7A7" w14:textId="2F6490F9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20.780.887</w:t>
            </w:r>
            <w:r w:rsidR="009B4BE9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000" w14:textId="0D6E94E0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37.643.36</w:t>
            </w:r>
            <w:r w:rsidR="009B4BE9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7,59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5FCD12" w14:textId="1D19F22A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181,1</w:t>
            </w:r>
          </w:p>
        </w:tc>
      </w:tr>
      <w:tr w:rsidR="00EF2459" w:rsidRPr="002D27AB" w14:paraId="64C532E0" w14:textId="77777777" w:rsidTr="004B5B3F">
        <w:trPr>
          <w:trHeight w:val="9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0BAB" w14:textId="5CF02D03" w:rsidR="00EF2459" w:rsidRPr="002D27AB" w:rsidRDefault="00EF2459" w:rsidP="00EF2459">
            <w:pPr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Rashodi za nabavu proizvedene dugotrajne imovine (</w:t>
            </w:r>
            <w:r w:rsidR="009608F3"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42</w:t>
            </w: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76EF" w14:textId="27584005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1.396.064</w:t>
            </w:r>
            <w:r w:rsidR="009B4BE9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AA87" w14:textId="0ED12ACF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3.232.214</w:t>
            </w:r>
            <w:r w:rsidR="009B4BE9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EF90C" w14:textId="1C122E87" w:rsidR="00EF2459" w:rsidRPr="002D27AB" w:rsidRDefault="009608F3" w:rsidP="00EF2459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231,5</w:t>
            </w:r>
          </w:p>
        </w:tc>
      </w:tr>
    </w:tbl>
    <w:p w14:paraId="037ECFBA" w14:textId="37EDC607" w:rsidR="009039E6" w:rsidRPr="002D27AB" w:rsidRDefault="009039E6" w:rsidP="009039E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highlight w:val="yellow"/>
          <w:lang w:val="hr-HR"/>
        </w:rPr>
      </w:pPr>
    </w:p>
    <w:p w14:paraId="4EA20DD8" w14:textId="6F23E3C3" w:rsidR="008025B5" w:rsidRPr="002D27AB" w:rsidRDefault="008025B5" w:rsidP="00D86C74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Rashodi poslovanja (3) su u odnosu na prethodnu godinu povećani za 23,4 % uslijed</w:t>
      </w:r>
      <w:r w:rsidR="00E232E5" w:rsidRPr="002D27AB">
        <w:rPr>
          <w:rFonts w:asciiTheme="majorHAnsi" w:hAnsiTheme="majorHAnsi" w:cstheme="majorHAnsi"/>
          <w:lang w:val="hr-HR"/>
        </w:rPr>
        <w:t xml:space="preserve"> povećanja svih rashoda kako slijedi.</w:t>
      </w:r>
    </w:p>
    <w:p w14:paraId="3F0A9926" w14:textId="37E7A821" w:rsidR="004005B5" w:rsidRPr="002D27AB" w:rsidRDefault="00815245" w:rsidP="00D86C74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Rashodi za zaposlene (</w:t>
      </w:r>
      <w:r w:rsidR="00E232E5" w:rsidRPr="002D27AB">
        <w:rPr>
          <w:rFonts w:asciiTheme="majorHAnsi" w:hAnsiTheme="majorHAnsi" w:cstheme="majorHAnsi"/>
          <w:lang w:val="hr-HR"/>
        </w:rPr>
        <w:t>31</w:t>
      </w:r>
      <w:r w:rsidRPr="002D27AB">
        <w:rPr>
          <w:rFonts w:asciiTheme="majorHAnsi" w:hAnsiTheme="majorHAnsi" w:cstheme="majorHAnsi"/>
          <w:lang w:val="hr-HR"/>
        </w:rPr>
        <w:t xml:space="preserve">) su </w:t>
      </w:r>
      <w:r w:rsidR="004005B5" w:rsidRPr="002D27AB">
        <w:rPr>
          <w:rFonts w:asciiTheme="majorHAnsi" w:hAnsiTheme="majorHAnsi" w:cstheme="majorHAnsi"/>
          <w:lang w:val="hr-HR"/>
        </w:rPr>
        <w:t>u odnosu na prethodnu godinu</w:t>
      </w:r>
      <w:r w:rsidRPr="002D27AB">
        <w:rPr>
          <w:rFonts w:asciiTheme="majorHAnsi" w:hAnsiTheme="majorHAnsi" w:cstheme="majorHAnsi"/>
          <w:lang w:val="hr-HR"/>
        </w:rPr>
        <w:t xml:space="preserve"> poveća</w:t>
      </w:r>
      <w:r w:rsidR="004005B5" w:rsidRPr="002D27AB">
        <w:rPr>
          <w:rFonts w:asciiTheme="majorHAnsi" w:hAnsiTheme="majorHAnsi" w:cstheme="majorHAnsi"/>
          <w:lang w:val="hr-HR"/>
        </w:rPr>
        <w:t>n</w:t>
      </w:r>
      <w:r w:rsidRPr="002D27AB">
        <w:rPr>
          <w:rFonts w:asciiTheme="majorHAnsi" w:hAnsiTheme="majorHAnsi" w:cstheme="majorHAnsi"/>
          <w:lang w:val="hr-HR"/>
        </w:rPr>
        <w:t xml:space="preserve">i za </w:t>
      </w:r>
      <w:r w:rsidR="0071759A" w:rsidRPr="002D27AB">
        <w:rPr>
          <w:rFonts w:asciiTheme="majorHAnsi" w:hAnsiTheme="majorHAnsi" w:cstheme="majorHAnsi"/>
          <w:lang w:val="hr-HR"/>
        </w:rPr>
        <w:t>1</w:t>
      </w:r>
      <w:r w:rsidR="00E232E5" w:rsidRPr="002D27AB">
        <w:rPr>
          <w:rFonts w:asciiTheme="majorHAnsi" w:hAnsiTheme="majorHAnsi" w:cstheme="majorHAnsi"/>
          <w:lang w:val="hr-HR"/>
        </w:rPr>
        <w:t>5</w:t>
      </w:r>
      <w:r w:rsidR="0071759A" w:rsidRPr="002D27AB">
        <w:rPr>
          <w:rFonts w:asciiTheme="majorHAnsi" w:hAnsiTheme="majorHAnsi" w:cstheme="majorHAnsi"/>
          <w:lang w:val="hr-HR"/>
        </w:rPr>
        <w:t>,</w:t>
      </w:r>
      <w:r w:rsidR="00E232E5" w:rsidRPr="002D27AB">
        <w:rPr>
          <w:rFonts w:asciiTheme="majorHAnsi" w:hAnsiTheme="majorHAnsi" w:cstheme="majorHAnsi"/>
          <w:lang w:val="hr-HR"/>
        </w:rPr>
        <w:t xml:space="preserve">4 </w:t>
      </w:r>
      <w:r w:rsidRPr="002D27AB">
        <w:rPr>
          <w:rFonts w:asciiTheme="majorHAnsi" w:hAnsiTheme="majorHAnsi" w:cstheme="majorHAnsi"/>
          <w:lang w:val="hr-HR"/>
        </w:rPr>
        <w:t xml:space="preserve">% kao posljedica </w:t>
      </w:r>
      <w:r w:rsidR="009E4B3C">
        <w:rPr>
          <w:rFonts w:asciiTheme="majorHAnsi" w:hAnsiTheme="majorHAnsi" w:cstheme="majorHAnsi"/>
          <w:lang w:val="hr-HR"/>
        </w:rPr>
        <w:t xml:space="preserve">povećanja plaća u javnim i državnim službama za 6 % </w:t>
      </w:r>
      <w:r w:rsidR="00271D14">
        <w:rPr>
          <w:rFonts w:asciiTheme="majorHAnsi" w:hAnsiTheme="majorHAnsi" w:cstheme="majorHAnsi"/>
          <w:lang w:val="hr-HR"/>
        </w:rPr>
        <w:t>t</w:t>
      </w:r>
      <w:r w:rsidR="00D53991">
        <w:rPr>
          <w:rFonts w:asciiTheme="majorHAnsi" w:hAnsiTheme="majorHAnsi" w:cstheme="majorHAnsi"/>
          <w:lang w:val="hr-HR"/>
        </w:rPr>
        <w:t xml:space="preserve">e zbog novih zapošljavanja. </w:t>
      </w:r>
    </w:p>
    <w:p w14:paraId="51476FAA" w14:textId="1DF243F3" w:rsidR="00D11763" w:rsidRPr="0023616C" w:rsidRDefault="00815245" w:rsidP="00D86C74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  <w:r w:rsidRPr="0023616C">
        <w:rPr>
          <w:rFonts w:asciiTheme="majorHAnsi" w:hAnsiTheme="majorHAnsi" w:cstheme="majorHAnsi"/>
          <w:lang w:val="hr-HR"/>
        </w:rPr>
        <w:t>Materijalni rashodi (</w:t>
      </w:r>
      <w:r w:rsidR="00E232E5" w:rsidRPr="0023616C">
        <w:rPr>
          <w:rFonts w:asciiTheme="majorHAnsi" w:hAnsiTheme="majorHAnsi" w:cstheme="majorHAnsi"/>
          <w:lang w:val="hr-HR"/>
        </w:rPr>
        <w:t>32</w:t>
      </w:r>
      <w:r w:rsidRPr="0023616C">
        <w:rPr>
          <w:rFonts w:asciiTheme="majorHAnsi" w:hAnsiTheme="majorHAnsi" w:cstheme="majorHAnsi"/>
          <w:lang w:val="hr-HR"/>
        </w:rPr>
        <w:t xml:space="preserve">) </w:t>
      </w:r>
      <w:r w:rsidR="004005B5" w:rsidRPr="0023616C">
        <w:rPr>
          <w:rFonts w:asciiTheme="majorHAnsi" w:hAnsiTheme="majorHAnsi" w:cstheme="majorHAnsi"/>
          <w:lang w:val="hr-HR"/>
        </w:rPr>
        <w:t xml:space="preserve">su u odnosu na </w:t>
      </w:r>
      <w:r w:rsidR="0071759A" w:rsidRPr="0023616C">
        <w:rPr>
          <w:rFonts w:asciiTheme="majorHAnsi" w:hAnsiTheme="majorHAnsi" w:cstheme="majorHAnsi"/>
          <w:lang w:val="hr-HR"/>
        </w:rPr>
        <w:t>prethodnu</w:t>
      </w:r>
      <w:r w:rsidR="00DA46D5" w:rsidRPr="0023616C">
        <w:rPr>
          <w:rFonts w:asciiTheme="majorHAnsi" w:hAnsiTheme="majorHAnsi" w:cstheme="majorHAnsi"/>
          <w:lang w:val="hr-HR"/>
        </w:rPr>
        <w:t xml:space="preserve"> godinu </w:t>
      </w:r>
      <w:r w:rsidR="0071759A" w:rsidRPr="0023616C">
        <w:rPr>
          <w:rFonts w:asciiTheme="majorHAnsi" w:hAnsiTheme="majorHAnsi" w:cstheme="majorHAnsi"/>
          <w:lang w:val="hr-HR"/>
        </w:rPr>
        <w:t xml:space="preserve">povećani </w:t>
      </w:r>
      <w:r w:rsidR="004005B5" w:rsidRPr="0023616C">
        <w:rPr>
          <w:rFonts w:asciiTheme="majorHAnsi" w:hAnsiTheme="majorHAnsi" w:cstheme="majorHAnsi"/>
          <w:lang w:val="hr-HR"/>
        </w:rPr>
        <w:t xml:space="preserve">za </w:t>
      </w:r>
      <w:r w:rsidR="0071759A" w:rsidRPr="0023616C">
        <w:rPr>
          <w:rFonts w:asciiTheme="majorHAnsi" w:hAnsiTheme="majorHAnsi" w:cstheme="majorHAnsi"/>
          <w:lang w:val="hr-HR"/>
        </w:rPr>
        <w:t>17,</w:t>
      </w:r>
      <w:r w:rsidR="00E232E5" w:rsidRPr="0023616C">
        <w:rPr>
          <w:rFonts w:asciiTheme="majorHAnsi" w:hAnsiTheme="majorHAnsi" w:cstheme="majorHAnsi"/>
          <w:lang w:val="hr-HR"/>
        </w:rPr>
        <w:t>3</w:t>
      </w:r>
      <w:r w:rsidR="004005B5" w:rsidRPr="0023616C">
        <w:rPr>
          <w:rFonts w:asciiTheme="majorHAnsi" w:hAnsiTheme="majorHAnsi" w:cstheme="majorHAnsi"/>
          <w:lang w:val="hr-HR"/>
        </w:rPr>
        <w:t xml:space="preserve">% </w:t>
      </w:r>
      <w:r w:rsidR="0071759A" w:rsidRPr="0023616C">
        <w:rPr>
          <w:rFonts w:asciiTheme="majorHAnsi" w:hAnsiTheme="majorHAnsi" w:cstheme="majorHAnsi"/>
          <w:lang w:val="hr-HR"/>
        </w:rPr>
        <w:t>.</w:t>
      </w:r>
      <w:r w:rsidR="00E232E5" w:rsidRPr="0023616C">
        <w:rPr>
          <w:rFonts w:asciiTheme="majorHAnsi" w:hAnsiTheme="majorHAnsi" w:cstheme="majorHAnsi"/>
          <w:lang w:val="hr-HR"/>
        </w:rPr>
        <w:t xml:space="preserve"> </w:t>
      </w:r>
      <w:r w:rsidR="0071759A" w:rsidRPr="0023616C">
        <w:rPr>
          <w:rFonts w:asciiTheme="majorHAnsi" w:hAnsiTheme="majorHAnsi" w:cstheme="majorHAnsi"/>
          <w:lang w:val="hr-HR"/>
        </w:rPr>
        <w:t>Do najvećeg povećanja u odnosu na prethodnu godinu  došlo je na</w:t>
      </w:r>
      <w:r w:rsidR="0023616C">
        <w:rPr>
          <w:rFonts w:asciiTheme="majorHAnsi" w:hAnsiTheme="majorHAnsi" w:cstheme="majorHAnsi"/>
          <w:lang w:val="hr-HR"/>
        </w:rPr>
        <w:t xml:space="preserve"> kontima</w:t>
      </w:r>
      <w:r w:rsidR="0071759A" w:rsidRPr="0023616C">
        <w:rPr>
          <w:rFonts w:asciiTheme="majorHAnsi" w:hAnsiTheme="majorHAnsi" w:cstheme="majorHAnsi"/>
          <w:lang w:val="hr-HR"/>
        </w:rPr>
        <w:t xml:space="preserve"> rashod</w:t>
      </w:r>
      <w:r w:rsidR="0023616C">
        <w:rPr>
          <w:rFonts w:asciiTheme="majorHAnsi" w:hAnsiTheme="majorHAnsi" w:cstheme="majorHAnsi"/>
          <w:lang w:val="hr-HR"/>
        </w:rPr>
        <w:t>a</w:t>
      </w:r>
      <w:r w:rsidR="0071759A" w:rsidRPr="0023616C">
        <w:rPr>
          <w:rFonts w:asciiTheme="majorHAnsi" w:hAnsiTheme="majorHAnsi" w:cstheme="majorHAnsi"/>
          <w:lang w:val="hr-HR"/>
        </w:rPr>
        <w:t xml:space="preserve"> koji se odnose na </w:t>
      </w:r>
      <w:r w:rsidR="00E232E5" w:rsidRPr="0023616C">
        <w:rPr>
          <w:rFonts w:asciiTheme="majorHAnsi" w:hAnsiTheme="majorHAnsi" w:cstheme="majorHAnsi"/>
          <w:lang w:val="hr-HR"/>
        </w:rPr>
        <w:t>ostale naknade troškova zaposlenima koji su radili na provođenju Projekta BOND, reprezentacij</w:t>
      </w:r>
      <w:r w:rsidR="0023616C">
        <w:rPr>
          <w:rFonts w:asciiTheme="majorHAnsi" w:hAnsiTheme="majorHAnsi" w:cstheme="majorHAnsi"/>
          <w:lang w:val="hr-HR"/>
        </w:rPr>
        <w:t>i</w:t>
      </w:r>
      <w:r w:rsidR="00E232E5" w:rsidRPr="0023616C">
        <w:rPr>
          <w:rFonts w:asciiTheme="majorHAnsi" w:hAnsiTheme="majorHAnsi" w:cstheme="majorHAnsi"/>
          <w:lang w:val="hr-HR"/>
        </w:rPr>
        <w:t>, te naknade troškova osobama izvan radnog odnose</w:t>
      </w:r>
      <w:r w:rsidR="00D11763" w:rsidRPr="0023616C">
        <w:rPr>
          <w:rFonts w:asciiTheme="majorHAnsi" w:hAnsiTheme="majorHAnsi" w:cstheme="majorHAnsi"/>
          <w:lang w:val="hr-HR"/>
        </w:rPr>
        <w:t>,</w:t>
      </w:r>
      <w:r w:rsidR="00E232E5" w:rsidRPr="0023616C">
        <w:rPr>
          <w:rFonts w:asciiTheme="majorHAnsi" w:hAnsiTheme="majorHAnsi" w:cstheme="majorHAnsi"/>
          <w:lang w:val="hr-HR"/>
        </w:rPr>
        <w:t xml:space="preserve"> a sve vezano za provođenje projektnih aktivnosti </w:t>
      </w:r>
      <w:r w:rsidR="007F2A58">
        <w:rPr>
          <w:rFonts w:asciiTheme="majorHAnsi" w:hAnsiTheme="majorHAnsi" w:cstheme="majorHAnsi"/>
          <w:lang w:val="hr-HR"/>
        </w:rPr>
        <w:t xml:space="preserve">Projekta </w:t>
      </w:r>
      <w:r w:rsidR="00E232E5" w:rsidRPr="0023616C">
        <w:rPr>
          <w:rFonts w:asciiTheme="majorHAnsi" w:hAnsiTheme="majorHAnsi" w:cstheme="majorHAnsi"/>
          <w:lang w:val="hr-HR"/>
        </w:rPr>
        <w:t>BOND.</w:t>
      </w:r>
      <w:r w:rsidR="00D11763" w:rsidRPr="0023616C">
        <w:rPr>
          <w:rFonts w:asciiTheme="majorHAnsi" w:hAnsiTheme="majorHAnsi" w:cstheme="majorHAnsi"/>
          <w:lang w:val="hr-HR"/>
        </w:rPr>
        <w:t xml:space="preserve"> Troškovi testiranja d</w:t>
      </w:r>
      <w:r w:rsidR="0023616C" w:rsidRPr="0023616C">
        <w:rPr>
          <w:rFonts w:asciiTheme="majorHAnsi" w:hAnsiTheme="majorHAnsi" w:cstheme="majorHAnsi"/>
          <w:lang w:val="hr-HR"/>
        </w:rPr>
        <w:t xml:space="preserve">jelatnika na Covid-19 dodatno su utjecali na povećanje materijalnih rashoda. </w:t>
      </w:r>
    </w:p>
    <w:p w14:paraId="51DC7D2B" w14:textId="782A1C86" w:rsidR="00D86C74" w:rsidRPr="002D27AB" w:rsidRDefault="000B743A" w:rsidP="00366F46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Financijski rashodi (</w:t>
      </w:r>
      <w:r w:rsidR="00E232E5" w:rsidRPr="002D27AB">
        <w:rPr>
          <w:rFonts w:asciiTheme="majorHAnsi" w:hAnsiTheme="majorHAnsi" w:cstheme="majorHAnsi"/>
          <w:lang w:val="hr-HR"/>
        </w:rPr>
        <w:t>34</w:t>
      </w:r>
      <w:r w:rsidRPr="002D27AB">
        <w:rPr>
          <w:rFonts w:asciiTheme="majorHAnsi" w:hAnsiTheme="majorHAnsi" w:cstheme="majorHAnsi"/>
          <w:lang w:val="hr-HR"/>
        </w:rPr>
        <w:t xml:space="preserve">) </w:t>
      </w:r>
      <w:r w:rsidR="00E232E5" w:rsidRPr="002D27AB">
        <w:rPr>
          <w:rFonts w:asciiTheme="majorHAnsi" w:hAnsiTheme="majorHAnsi" w:cstheme="majorHAnsi"/>
          <w:lang w:val="hr-HR"/>
        </w:rPr>
        <w:t xml:space="preserve">povećani su za 127,7 </w:t>
      </w:r>
      <w:r w:rsidR="00C322F2" w:rsidRPr="002D27AB">
        <w:rPr>
          <w:rFonts w:asciiTheme="majorHAnsi" w:hAnsiTheme="majorHAnsi" w:cstheme="majorHAnsi"/>
          <w:lang w:val="hr-HR"/>
        </w:rPr>
        <w:t>% u odnosu</w:t>
      </w:r>
      <w:r w:rsidR="004256A3" w:rsidRPr="002D27AB">
        <w:rPr>
          <w:rFonts w:asciiTheme="majorHAnsi" w:hAnsiTheme="majorHAnsi" w:cstheme="majorHAnsi"/>
          <w:lang w:val="hr-HR"/>
        </w:rPr>
        <w:t xml:space="preserve"> na prethodnu godinu </w:t>
      </w:r>
      <w:r w:rsidR="00C322F2" w:rsidRPr="002D27AB">
        <w:rPr>
          <w:rFonts w:asciiTheme="majorHAnsi" w:hAnsiTheme="majorHAnsi" w:cstheme="majorHAnsi"/>
          <w:lang w:val="hr-HR"/>
        </w:rPr>
        <w:t xml:space="preserve">zbog </w:t>
      </w:r>
      <w:r w:rsidR="00E232E5" w:rsidRPr="002D27AB">
        <w:rPr>
          <w:rFonts w:asciiTheme="majorHAnsi" w:hAnsiTheme="majorHAnsi" w:cstheme="majorHAnsi"/>
          <w:lang w:val="hr-HR"/>
        </w:rPr>
        <w:t>povećanja</w:t>
      </w:r>
      <w:r w:rsidR="00C322F2" w:rsidRPr="002D27AB">
        <w:rPr>
          <w:rFonts w:asciiTheme="majorHAnsi" w:hAnsiTheme="majorHAnsi" w:cstheme="majorHAnsi"/>
          <w:lang w:val="hr-HR"/>
        </w:rPr>
        <w:t xml:space="preserve"> broja </w:t>
      </w:r>
      <w:r w:rsidRPr="002D27AB">
        <w:rPr>
          <w:rFonts w:asciiTheme="majorHAnsi" w:hAnsiTheme="majorHAnsi" w:cstheme="majorHAnsi"/>
          <w:lang w:val="hr-HR"/>
        </w:rPr>
        <w:t xml:space="preserve">bankarskih </w:t>
      </w:r>
      <w:r w:rsidR="004256A3" w:rsidRPr="002D27AB">
        <w:rPr>
          <w:rFonts w:asciiTheme="majorHAnsi" w:hAnsiTheme="majorHAnsi" w:cstheme="majorHAnsi"/>
          <w:lang w:val="hr-HR"/>
        </w:rPr>
        <w:t>transakcija</w:t>
      </w:r>
      <w:r w:rsidRPr="002D27AB">
        <w:rPr>
          <w:rFonts w:asciiTheme="majorHAnsi" w:hAnsiTheme="majorHAnsi" w:cstheme="majorHAnsi"/>
          <w:lang w:val="hr-HR"/>
        </w:rPr>
        <w:t xml:space="preserve"> i usluga platnog prometa</w:t>
      </w:r>
      <w:r w:rsidR="00D86C74" w:rsidRPr="002D27AB">
        <w:rPr>
          <w:rFonts w:asciiTheme="majorHAnsi" w:hAnsiTheme="majorHAnsi" w:cstheme="majorHAnsi"/>
          <w:lang w:val="hr-HR"/>
        </w:rPr>
        <w:t xml:space="preserve">. </w:t>
      </w:r>
    </w:p>
    <w:p w14:paraId="02953619" w14:textId="34A92896" w:rsidR="00E232E5" w:rsidRPr="002D27AB" w:rsidRDefault="00E232E5" w:rsidP="00366F46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Subvencije (35) su povećane za 16,4 % u odnosu na prethodnu godinu uslijed porasta broja korisnika financiranja u Programima BOND, Eureka i Eurostars.</w:t>
      </w:r>
    </w:p>
    <w:p w14:paraId="566D6A96" w14:textId="3ACC4796" w:rsidR="00880D02" w:rsidRPr="002D27AB" w:rsidRDefault="00880D02" w:rsidP="00FB367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Pomoći dane u inozemstvo i unutar općeg proračuna (</w:t>
      </w:r>
      <w:r w:rsidR="00E232E5" w:rsidRPr="002D27AB">
        <w:rPr>
          <w:rFonts w:asciiTheme="majorHAnsi" w:hAnsiTheme="majorHAnsi" w:cstheme="majorHAnsi"/>
          <w:lang w:val="hr-HR"/>
        </w:rPr>
        <w:t>36</w:t>
      </w:r>
      <w:r w:rsidRPr="002D27AB">
        <w:rPr>
          <w:rFonts w:asciiTheme="majorHAnsi" w:hAnsiTheme="majorHAnsi" w:cstheme="majorHAnsi"/>
          <w:lang w:val="hr-HR"/>
        </w:rPr>
        <w:t xml:space="preserve">) </w:t>
      </w:r>
      <w:r w:rsidR="00EC2CCA" w:rsidRPr="002D27AB">
        <w:rPr>
          <w:rFonts w:asciiTheme="majorHAnsi" w:hAnsiTheme="majorHAnsi" w:cstheme="majorHAnsi"/>
          <w:lang w:val="hr-HR"/>
        </w:rPr>
        <w:t xml:space="preserve">su </w:t>
      </w:r>
      <w:r w:rsidR="00E232E5" w:rsidRPr="002D27AB">
        <w:rPr>
          <w:rFonts w:asciiTheme="majorHAnsi" w:hAnsiTheme="majorHAnsi" w:cstheme="majorHAnsi"/>
          <w:lang w:val="hr-HR"/>
        </w:rPr>
        <w:t>zna</w:t>
      </w:r>
      <w:r w:rsidR="006A68AD" w:rsidRPr="002D27AB">
        <w:rPr>
          <w:rFonts w:asciiTheme="majorHAnsi" w:hAnsiTheme="majorHAnsi" w:cstheme="majorHAnsi"/>
          <w:lang w:val="hr-HR"/>
        </w:rPr>
        <w:t>č</w:t>
      </w:r>
      <w:r w:rsidR="00E232E5" w:rsidRPr="002D27AB">
        <w:rPr>
          <w:rFonts w:asciiTheme="majorHAnsi" w:hAnsiTheme="majorHAnsi" w:cstheme="majorHAnsi"/>
          <w:lang w:val="hr-HR"/>
        </w:rPr>
        <w:t xml:space="preserve">ajno </w:t>
      </w:r>
      <w:r w:rsidR="00EC2CCA" w:rsidRPr="002D27AB">
        <w:rPr>
          <w:rFonts w:asciiTheme="majorHAnsi" w:hAnsiTheme="majorHAnsi" w:cstheme="majorHAnsi"/>
          <w:lang w:val="hr-HR"/>
        </w:rPr>
        <w:t>smanjeni</w:t>
      </w:r>
      <w:r w:rsidR="00C826A4" w:rsidRPr="002D27AB">
        <w:rPr>
          <w:rFonts w:asciiTheme="majorHAnsi" w:hAnsiTheme="majorHAnsi" w:cstheme="majorHAnsi"/>
          <w:lang w:val="hr-HR"/>
        </w:rPr>
        <w:t xml:space="preserve"> u odnosu na </w:t>
      </w:r>
      <w:r w:rsidR="00EC2CCA" w:rsidRPr="002D27AB">
        <w:rPr>
          <w:rFonts w:asciiTheme="majorHAnsi" w:hAnsiTheme="majorHAnsi" w:cstheme="majorHAnsi"/>
          <w:lang w:val="hr-HR"/>
        </w:rPr>
        <w:t>prethodnu godinu</w:t>
      </w:r>
      <w:r w:rsidR="006A68AD" w:rsidRPr="002D27AB">
        <w:rPr>
          <w:rFonts w:asciiTheme="majorHAnsi" w:hAnsiTheme="majorHAnsi" w:cstheme="majorHAnsi"/>
          <w:lang w:val="hr-HR"/>
        </w:rPr>
        <w:t xml:space="preserve"> za 71,3 %</w:t>
      </w:r>
      <w:r w:rsidR="00D11763">
        <w:rPr>
          <w:rFonts w:asciiTheme="majorHAnsi" w:hAnsiTheme="majorHAnsi" w:cstheme="majorHAnsi"/>
          <w:lang w:val="hr-HR"/>
        </w:rPr>
        <w:t xml:space="preserve"> zbog</w:t>
      </w:r>
      <w:r w:rsidR="006A68AD" w:rsidRPr="002D27AB">
        <w:rPr>
          <w:rFonts w:asciiTheme="majorHAnsi" w:hAnsiTheme="majorHAnsi" w:cstheme="majorHAnsi"/>
          <w:lang w:val="hr-HR"/>
        </w:rPr>
        <w:t xml:space="preserve"> smanjenja intenziteta provođenja projektnih aktivnosti međunarodnog Projekta B-Light u kojem se Hamag-Bicro nalazi u svojstvu vodećeg partnera</w:t>
      </w:r>
      <w:r w:rsidR="00EC2CCA" w:rsidRPr="002D27AB">
        <w:rPr>
          <w:rFonts w:asciiTheme="majorHAnsi" w:hAnsiTheme="majorHAnsi" w:cstheme="majorHAnsi"/>
          <w:lang w:val="hr-HR"/>
        </w:rPr>
        <w:t xml:space="preserve">. </w:t>
      </w:r>
      <w:r w:rsidRPr="002D27AB">
        <w:rPr>
          <w:rFonts w:asciiTheme="majorHAnsi" w:hAnsiTheme="majorHAnsi" w:cstheme="majorHAnsi"/>
          <w:lang w:val="hr-HR"/>
        </w:rPr>
        <w:t>B</w:t>
      </w:r>
      <w:r w:rsidR="006A68AD" w:rsidRPr="002D27AB">
        <w:rPr>
          <w:rFonts w:asciiTheme="majorHAnsi" w:hAnsiTheme="majorHAnsi" w:cstheme="majorHAnsi"/>
          <w:lang w:val="hr-HR"/>
        </w:rPr>
        <w:t>-</w:t>
      </w:r>
      <w:r w:rsidRPr="002D27AB">
        <w:rPr>
          <w:rFonts w:asciiTheme="majorHAnsi" w:hAnsiTheme="majorHAnsi" w:cstheme="majorHAnsi"/>
          <w:lang w:val="hr-HR"/>
        </w:rPr>
        <w:t>Light Grant Shema je projekt kojim se financira suradnja malih i srednjih poduzeća (MSP) na pograničnom području Mađarska - Hrvatska u sklopu Interreg V-A Programa suradnje Mađarska - Hrvatska 2014. - 2020.</w:t>
      </w:r>
    </w:p>
    <w:p w14:paraId="569682E6" w14:textId="25424903" w:rsidR="00B42DF7" w:rsidRPr="002D27AB" w:rsidRDefault="006A68AD" w:rsidP="00B42DF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eastAsia="Times New Roman" w:hAnsiTheme="majorHAnsi" w:cstheme="majorHAnsi"/>
          <w:color w:val="000000"/>
          <w:lang w:val="hr-HR" w:eastAsia="hr-HR"/>
        </w:rPr>
        <w:t>Naknade građanima i kućanstvima u novcu (37) su uvećan</w:t>
      </w:r>
      <w:r w:rsidR="00C006FC">
        <w:rPr>
          <w:rFonts w:asciiTheme="majorHAnsi" w:eastAsia="Times New Roman" w:hAnsiTheme="majorHAnsi" w:cstheme="majorHAnsi"/>
          <w:color w:val="000000"/>
          <w:lang w:val="hr-HR" w:eastAsia="hr-HR"/>
        </w:rPr>
        <w:t>e</w:t>
      </w:r>
      <w:r w:rsidRPr="002D27AB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za 34,6 % u odnosu na prethodnu godinu uslijed</w:t>
      </w:r>
      <w:r w:rsidR="00B42DF7" w:rsidRPr="002D27AB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porasta </w:t>
      </w:r>
      <w:r w:rsidR="00B42DF7" w:rsidRPr="002D27AB">
        <w:rPr>
          <w:rFonts w:asciiTheme="majorHAnsi" w:hAnsiTheme="majorHAnsi" w:cstheme="majorHAnsi"/>
          <w:lang w:val="hr-HR"/>
        </w:rPr>
        <w:t xml:space="preserve">broja djelatnika kojima je </w:t>
      </w:r>
      <w:r w:rsidR="00193F95">
        <w:rPr>
          <w:rFonts w:asciiTheme="majorHAnsi" w:hAnsiTheme="majorHAnsi" w:cstheme="majorHAnsi"/>
          <w:lang w:val="hr-HR"/>
        </w:rPr>
        <w:t>su</w:t>
      </w:r>
      <w:r w:rsidR="00B42DF7" w:rsidRPr="002D27AB">
        <w:rPr>
          <w:rFonts w:asciiTheme="majorHAnsi" w:hAnsiTheme="majorHAnsi" w:cstheme="majorHAnsi"/>
          <w:lang w:val="hr-HR"/>
        </w:rPr>
        <w:t>financirano školovanje.</w:t>
      </w:r>
    </w:p>
    <w:p w14:paraId="437BD308" w14:textId="57464074" w:rsidR="00E6743C" w:rsidRDefault="00E6743C" w:rsidP="00B42DF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Ostali rashodi (38) su porasli u odnosu na prethodnu godinu za </w:t>
      </w:r>
      <w:r w:rsidR="005F4B8C" w:rsidRPr="002D27AB">
        <w:rPr>
          <w:rFonts w:asciiTheme="majorHAnsi" w:hAnsiTheme="majorHAnsi" w:cstheme="majorHAnsi"/>
          <w:lang w:val="hr-HR"/>
        </w:rPr>
        <w:t>81</w:t>
      </w:r>
      <w:r w:rsidRPr="002D27AB">
        <w:rPr>
          <w:rFonts w:asciiTheme="majorHAnsi" w:hAnsiTheme="majorHAnsi" w:cstheme="majorHAnsi"/>
          <w:lang w:val="hr-HR"/>
        </w:rPr>
        <w:t>,</w:t>
      </w:r>
      <w:r w:rsidR="005F4B8C" w:rsidRPr="002D27AB">
        <w:rPr>
          <w:rFonts w:asciiTheme="majorHAnsi" w:hAnsiTheme="majorHAnsi" w:cstheme="majorHAnsi"/>
          <w:lang w:val="hr-HR"/>
        </w:rPr>
        <w:t>1</w:t>
      </w:r>
      <w:r w:rsidRPr="002D27AB">
        <w:rPr>
          <w:rFonts w:asciiTheme="majorHAnsi" w:hAnsiTheme="majorHAnsi" w:cstheme="majorHAnsi"/>
          <w:lang w:val="hr-HR"/>
        </w:rPr>
        <w:t xml:space="preserve"> % </w:t>
      </w:r>
      <w:r w:rsidR="005F4B8C" w:rsidRPr="002D27AB">
        <w:rPr>
          <w:rFonts w:asciiTheme="majorHAnsi" w:hAnsiTheme="majorHAnsi" w:cstheme="majorHAnsi"/>
          <w:lang w:val="hr-HR"/>
        </w:rPr>
        <w:t xml:space="preserve">radi </w:t>
      </w:r>
      <w:r w:rsidR="00FA6FB4" w:rsidRPr="002D27AB">
        <w:rPr>
          <w:rFonts w:asciiTheme="majorHAnsi" w:hAnsiTheme="majorHAnsi" w:cstheme="majorHAnsi"/>
          <w:lang w:val="hr-HR"/>
        </w:rPr>
        <w:t xml:space="preserve">načina evidentiranja isplate protestiranih jamstava poslovnim bankama koje su prethodnih godina evidentirane kao izdaci, a od </w:t>
      </w:r>
      <w:r w:rsidR="000A6A3C">
        <w:rPr>
          <w:rFonts w:asciiTheme="majorHAnsi" w:hAnsiTheme="majorHAnsi" w:cstheme="majorHAnsi"/>
          <w:lang w:val="hr-HR"/>
        </w:rPr>
        <w:t>01.01.</w:t>
      </w:r>
      <w:r w:rsidR="00FA6FB4" w:rsidRPr="002D27AB">
        <w:rPr>
          <w:rFonts w:asciiTheme="majorHAnsi" w:hAnsiTheme="majorHAnsi" w:cstheme="majorHAnsi"/>
          <w:lang w:val="hr-HR"/>
        </w:rPr>
        <w:t>2022. na grupi konta 3865</w:t>
      </w:r>
      <w:r w:rsidRPr="002D27AB">
        <w:rPr>
          <w:rFonts w:asciiTheme="majorHAnsi" w:hAnsiTheme="majorHAnsi" w:cstheme="majorHAnsi"/>
          <w:lang w:val="hr-HR"/>
        </w:rPr>
        <w:t>.</w:t>
      </w:r>
    </w:p>
    <w:p w14:paraId="0AA7F1F4" w14:textId="7A74FA4B" w:rsidR="00D53991" w:rsidRPr="002D27AB" w:rsidRDefault="00D53991" w:rsidP="00B42DF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 xml:space="preserve">Rashodi za nabavu nefinancijske imovine (4) povećani su za 149,5 % u odnosu na prethodnu godinu. Do najvećeg povećanja došlo je na rashodima za nabavu neproizvedene dugotrajne imovine (41) koji su povećani za 556,2 % u odnosu na prethodnu godinu zbog nabave licenci za računala. </w:t>
      </w:r>
    </w:p>
    <w:p w14:paraId="6AAE7971" w14:textId="5436801A" w:rsidR="005F4B8C" w:rsidRDefault="00D02390" w:rsidP="005F4B8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R</w:t>
      </w:r>
      <w:r w:rsidR="005403B3" w:rsidRPr="002D27AB">
        <w:rPr>
          <w:rFonts w:asciiTheme="majorHAnsi" w:hAnsiTheme="majorHAnsi" w:cstheme="majorHAnsi"/>
          <w:lang w:val="hr-HR"/>
        </w:rPr>
        <w:t>ashod</w:t>
      </w:r>
      <w:r w:rsidR="0045254B" w:rsidRPr="002D27AB">
        <w:rPr>
          <w:rFonts w:asciiTheme="majorHAnsi" w:hAnsiTheme="majorHAnsi" w:cstheme="majorHAnsi"/>
          <w:lang w:val="hr-HR"/>
        </w:rPr>
        <w:t>i</w:t>
      </w:r>
      <w:r w:rsidR="00EC0ED0" w:rsidRPr="002D27AB">
        <w:rPr>
          <w:rFonts w:asciiTheme="majorHAnsi" w:hAnsiTheme="majorHAnsi" w:cstheme="majorHAnsi"/>
          <w:lang w:val="hr-HR"/>
        </w:rPr>
        <w:t xml:space="preserve"> za nabavu </w:t>
      </w:r>
      <w:r w:rsidR="00EC2CCA" w:rsidRPr="002D27AB">
        <w:rPr>
          <w:rFonts w:asciiTheme="majorHAnsi" w:hAnsiTheme="majorHAnsi" w:cstheme="majorHAnsi"/>
          <w:lang w:val="hr-HR"/>
        </w:rPr>
        <w:t>proizvedene dugotrajne imovine</w:t>
      </w:r>
      <w:r w:rsidR="00FD4B9A" w:rsidRPr="002D27AB">
        <w:rPr>
          <w:rFonts w:asciiTheme="majorHAnsi" w:hAnsiTheme="majorHAnsi" w:cstheme="majorHAnsi"/>
          <w:lang w:val="hr-HR"/>
        </w:rPr>
        <w:t xml:space="preserve"> (</w:t>
      </w:r>
      <w:r w:rsidR="00FA6FB4" w:rsidRPr="002D27AB">
        <w:rPr>
          <w:rFonts w:asciiTheme="majorHAnsi" w:hAnsiTheme="majorHAnsi" w:cstheme="majorHAnsi"/>
          <w:lang w:val="hr-HR"/>
        </w:rPr>
        <w:t>42</w:t>
      </w:r>
      <w:r w:rsidR="00FD4B9A" w:rsidRPr="002D27AB">
        <w:rPr>
          <w:rFonts w:asciiTheme="majorHAnsi" w:hAnsiTheme="majorHAnsi" w:cstheme="majorHAnsi"/>
          <w:lang w:val="hr-HR"/>
        </w:rPr>
        <w:t>)</w:t>
      </w:r>
      <w:r w:rsidR="00EC0ED0" w:rsidRPr="002D27AB">
        <w:rPr>
          <w:rFonts w:asciiTheme="majorHAnsi" w:hAnsiTheme="majorHAnsi" w:cstheme="majorHAnsi"/>
          <w:lang w:val="hr-HR"/>
        </w:rPr>
        <w:t xml:space="preserve"> </w:t>
      </w:r>
      <w:r w:rsidR="00FA6FB4" w:rsidRPr="002D27AB">
        <w:rPr>
          <w:rFonts w:asciiTheme="majorHAnsi" w:hAnsiTheme="majorHAnsi" w:cstheme="majorHAnsi"/>
          <w:lang w:val="hr-HR"/>
        </w:rPr>
        <w:t>povećan</w:t>
      </w:r>
      <w:r w:rsidR="0026253A" w:rsidRPr="002D27AB">
        <w:rPr>
          <w:rFonts w:asciiTheme="majorHAnsi" w:hAnsiTheme="majorHAnsi" w:cstheme="majorHAnsi"/>
          <w:lang w:val="hr-HR"/>
        </w:rPr>
        <w:t xml:space="preserve">i u odnosu na prethodnu godinu za </w:t>
      </w:r>
      <w:r w:rsidR="00FA6FB4" w:rsidRPr="002D27AB">
        <w:rPr>
          <w:rFonts w:asciiTheme="majorHAnsi" w:hAnsiTheme="majorHAnsi" w:cstheme="majorHAnsi"/>
          <w:lang w:val="hr-HR"/>
        </w:rPr>
        <w:t xml:space="preserve">131,5 </w:t>
      </w:r>
      <w:r w:rsidR="0026253A" w:rsidRPr="002D27AB">
        <w:rPr>
          <w:rFonts w:asciiTheme="majorHAnsi" w:hAnsiTheme="majorHAnsi" w:cstheme="majorHAnsi"/>
          <w:lang w:val="hr-HR"/>
        </w:rPr>
        <w:t>%</w:t>
      </w:r>
      <w:r w:rsidR="00FA6FB4" w:rsidRPr="002D27AB">
        <w:rPr>
          <w:rFonts w:asciiTheme="majorHAnsi" w:hAnsiTheme="majorHAnsi" w:cstheme="majorHAnsi"/>
          <w:lang w:val="hr-HR"/>
        </w:rPr>
        <w:t xml:space="preserve"> </w:t>
      </w:r>
      <w:r w:rsidR="00D53991">
        <w:rPr>
          <w:rFonts w:asciiTheme="majorHAnsi" w:hAnsiTheme="majorHAnsi" w:cstheme="majorHAnsi"/>
          <w:lang w:val="hr-HR"/>
        </w:rPr>
        <w:t>zbog nabave</w:t>
      </w:r>
      <w:r w:rsidR="005F4B8C" w:rsidRPr="002D27AB">
        <w:rPr>
          <w:rFonts w:asciiTheme="majorHAnsi" w:hAnsiTheme="majorHAnsi" w:cstheme="majorHAnsi"/>
          <w:lang w:val="hr-HR"/>
        </w:rPr>
        <w:t xml:space="preserve"> uredske opreme i namještaja kao i komunikacijske opreme za nove djelatnike.</w:t>
      </w:r>
    </w:p>
    <w:p w14:paraId="49DD3671" w14:textId="48C613CB" w:rsidR="00D53991" w:rsidRDefault="002E0A84" w:rsidP="005F4B8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Tijekom 2022. godine nadograđeni su računalni programi koji se odnose na integraciju sustava za financijsku analizu i procesa za financijske instrumente te su zbog toga na kontu 4262 Ulaganje u računalne programe nastali troškovi kojih u prethodnoj godini nije bilo. </w:t>
      </w:r>
    </w:p>
    <w:p w14:paraId="3F6E3460" w14:textId="5BC094CE" w:rsidR="0026253A" w:rsidRPr="002D27AB" w:rsidRDefault="0026253A" w:rsidP="00FB367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147F486" w14:textId="63B7EFC8" w:rsidR="00487088" w:rsidRPr="002D27AB" w:rsidRDefault="00487088" w:rsidP="00487088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b/>
        </w:rPr>
      </w:pPr>
      <w:r w:rsidRPr="002D27AB">
        <w:rPr>
          <w:rFonts w:asciiTheme="majorHAnsi" w:hAnsiTheme="majorHAnsi" w:cstheme="majorHAnsi"/>
          <w:b/>
        </w:rPr>
        <w:t>PRIMICI</w:t>
      </w:r>
    </w:p>
    <w:p w14:paraId="107C8363" w14:textId="77777777" w:rsidR="00487088" w:rsidRPr="002D27AB" w:rsidRDefault="00487088" w:rsidP="004870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highlight w:val="yellow"/>
          <w:lang w:val="hr-HR"/>
        </w:rPr>
      </w:pPr>
    </w:p>
    <w:p w14:paraId="13C9241D" w14:textId="06773930" w:rsidR="00487088" w:rsidRDefault="00487088" w:rsidP="00990C1A">
      <w:pPr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Ukupni primici od financijske imovine i zaduživanja (</w:t>
      </w:r>
      <w:r w:rsidR="006A6B72" w:rsidRPr="002D27AB">
        <w:rPr>
          <w:rFonts w:asciiTheme="majorHAnsi" w:hAnsiTheme="majorHAnsi" w:cstheme="majorHAnsi"/>
          <w:lang w:val="hr-HR"/>
        </w:rPr>
        <w:t>8</w:t>
      </w:r>
      <w:r w:rsidRPr="002D27AB">
        <w:rPr>
          <w:rFonts w:asciiTheme="majorHAnsi" w:hAnsiTheme="majorHAnsi" w:cstheme="majorHAnsi"/>
          <w:lang w:val="hr-HR"/>
        </w:rPr>
        <w:t xml:space="preserve">) iznose </w:t>
      </w:r>
      <w:r w:rsidR="006A6B72" w:rsidRPr="002D27AB">
        <w:rPr>
          <w:rFonts w:asciiTheme="majorHAnsi" w:hAnsiTheme="majorHAnsi" w:cstheme="majorHAnsi"/>
          <w:lang w:val="hr-HR"/>
        </w:rPr>
        <w:t>1.049.680.375</w:t>
      </w:r>
      <w:r w:rsidR="002E0A84">
        <w:rPr>
          <w:rFonts w:asciiTheme="majorHAnsi" w:hAnsiTheme="majorHAnsi" w:cstheme="majorHAnsi"/>
          <w:lang w:val="hr-HR"/>
        </w:rPr>
        <w:t xml:space="preserve">,47 </w:t>
      </w:r>
      <w:r w:rsidR="006A6B72" w:rsidRPr="002D27AB">
        <w:rPr>
          <w:rFonts w:asciiTheme="majorHAnsi" w:hAnsiTheme="majorHAnsi" w:cstheme="majorHAnsi"/>
          <w:lang w:val="hr-HR"/>
        </w:rPr>
        <w:t xml:space="preserve">kn </w:t>
      </w:r>
      <w:r w:rsidR="0079355A" w:rsidRPr="002D27AB">
        <w:rPr>
          <w:rFonts w:asciiTheme="majorHAnsi" w:hAnsiTheme="majorHAnsi" w:cstheme="majorHAnsi"/>
          <w:lang w:val="hr-HR"/>
        </w:rPr>
        <w:t>i u</w:t>
      </w:r>
      <w:r w:rsidRPr="002D27AB">
        <w:rPr>
          <w:rFonts w:asciiTheme="majorHAnsi" w:hAnsiTheme="majorHAnsi" w:cstheme="majorHAnsi"/>
          <w:lang w:val="hr-HR"/>
        </w:rPr>
        <w:t xml:space="preserve"> odnosu na pr</w:t>
      </w:r>
      <w:r w:rsidR="0079355A" w:rsidRPr="002D27AB">
        <w:rPr>
          <w:rFonts w:asciiTheme="majorHAnsi" w:hAnsiTheme="majorHAnsi" w:cstheme="majorHAnsi"/>
          <w:lang w:val="hr-HR"/>
        </w:rPr>
        <w:t>ethodn</w:t>
      </w:r>
      <w:r w:rsidRPr="002D27AB">
        <w:rPr>
          <w:rFonts w:asciiTheme="majorHAnsi" w:hAnsiTheme="majorHAnsi" w:cstheme="majorHAnsi"/>
          <w:lang w:val="hr-HR"/>
        </w:rPr>
        <w:t xml:space="preserve">u godinu </w:t>
      </w:r>
      <w:r w:rsidR="006A6B72" w:rsidRPr="002D27AB">
        <w:rPr>
          <w:rFonts w:asciiTheme="majorHAnsi" w:hAnsiTheme="majorHAnsi" w:cstheme="majorHAnsi"/>
          <w:lang w:val="hr-HR"/>
        </w:rPr>
        <w:t>poveća</w:t>
      </w:r>
      <w:r w:rsidR="0079355A" w:rsidRPr="002D27AB">
        <w:rPr>
          <w:rFonts w:asciiTheme="majorHAnsi" w:hAnsiTheme="majorHAnsi" w:cstheme="majorHAnsi"/>
          <w:lang w:val="hr-HR"/>
        </w:rPr>
        <w:t xml:space="preserve">ni </w:t>
      </w:r>
      <w:r w:rsidR="00990C1A" w:rsidRPr="002D27AB">
        <w:rPr>
          <w:rFonts w:asciiTheme="majorHAnsi" w:hAnsiTheme="majorHAnsi" w:cstheme="majorHAnsi"/>
          <w:lang w:val="hr-HR"/>
        </w:rPr>
        <w:t xml:space="preserve">su </w:t>
      </w:r>
      <w:r w:rsidRPr="002D27AB">
        <w:rPr>
          <w:rFonts w:asciiTheme="majorHAnsi" w:hAnsiTheme="majorHAnsi" w:cstheme="majorHAnsi"/>
          <w:lang w:val="hr-HR"/>
        </w:rPr>
        <w:t xml:space="preserve">za </w:t>
      </w:r>
      <w:r w:rsidR="00B23DC6" w:rsidRPr="002D27AB">
        <w:rPr>
          <w:rFonts w:asciiTheme="majorHAnsi" w:hAnsiTheme="majorHAnsi" w:cstheme="majorHAnsi"/>
          <w:lang w:val="hr-HR"/>
        </w:rPr>
        <w:t>8</w:t>
      </w:r>
      <w:r w:rsidR="006A6B72" w:rsidRPr="002D27AB">
        <w:rPr>
          <w:rFonts w:asciiTheme="majorHAnsi" w:hAnsiTheme="majorHAnsi" w:cstheme="majorHAnsi"/>
          <w:lang w:val="hr-HR"/>
        </w:rPr>
        <w:t xml:space="preserve">,6 </w:t>
      </w:r>
      <w:r w:rsidR="00B23DC6" w:rsidRPr="002D27AB">
        <w:rPr>
          <w:rFonts w:asciiTheme="majorHAnsi" w:hAnsiTheme="majorHAnsi" w:cstheme="majorHAnsi"/>
          <w:lang w:val="hr-HR"/>
        </w:rPr>
        <w:t>%</w:t>
      </w:r>
      <w:r w:rsidR="002E0A84">
        <w:rPr>
          <w:rFonts w:asciiTheme="majorHAnsi" w:hAnsiTheme="majorHAnsi" w:cstheme="majorHAnsi"/>
          <w:lang w:val="hr-HR"/>
        </w:rPr>
        <w:t xml:space="preserve">.  Tijekom 2022. godine završio je </w:t>
      </w:r>
      <w:r w:rsidR="006A6B72" w:rsidRPr="002D27AB">
        <w:rPr>
          <w:rFonts w:asciiTheme="majorHAnsi" w:hAnsiTheme="majorHAnsi" w:cstheme="majorHAnsi"/>
          <w:lang w:val="hr-HR"/>
        </w:rPr>
        <w:t>O</w:t>
      </w:r>
      <w:r w:rsidR="00990C1A" w:rsidRPr="002D27AB">
        <w:rPr>
          <w:rFonts w:asciiTheme="majorHAnsi" w:hAnsiTheme="majorHAnsi" w:cstheme="majorHAnsi"/>
          <w:lang w:val="hr-HR"/>
        </w:rPr>
        <w:t>perativn</w:t>
      </w:r>
      <w:r w:rsidR="002E0A84">
        <w:rPr>
          <w:rFonts w:asciiTheme="majorHAnsi" w:hAnsiTheme="majorHAnsi" w:cstheme="majorHAnsi"/>
          <w:lang w:val="hr-HR"/>
        </w:rPr>
        <w:t>i</w:t>
      </w:r>
      <w:r w:rsidR="00990C1A" w:rsidRPr="002D27AB">
        <w:rPr>
          <w:rFonts w:asciiTheme="majorHAnsi" w:hAnsiTheme="majorHAnsi" w:cstheme="majorHAnsi"/>
          <w:lang w:val="hr-HR"/>
        </w:rPr>
        <w:t xml:space="preserve"> programa „Konkurentnost i kohezija“ 2014.-2020</w:t>
      </w:r>
      <w:r w:rsidR="00B23DC6" w:rsidRPr="002D27AB">
        <w:rPr>
          <w:rFonts w:asciiTheme="majorHAnsi" w:hAnsiTheme="majorHAnsi" w:cstheme="majorHAnsi"/>
          <w:lang w:val="hr-HR"/>
        </w:rPr>
        <w:t xml:space="preserve">. </w:t>
      </w:r>
    </w:p>
    <w:p w14:paraId="4408FB77" w14:textId="3C28E3DC" w:rsidR="00203AD5" w:rsidRDefault="002E0A84" w:rsidP="00990C1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Do najvećeg povećanja u odnosu na prethodnu godinu za 651,8 %  došlo je na kontu 81  Primljeni povrati glavnica danih zajmova i depozita</w:t>
      </w:r>
      <w:r w:rsidR="00203AD5">
        <w:rPr>
          <w:rFonts w:asciiTheme="majorHAnsi" w:hAnsiTheme="majorHAnsi" w:cstheme="majorHAnsi"/>
          <w:lang w:val="hr-HR"/>
        </w:rPr>
        <w:t>, odnosno na kontima 8163 povrat zajmova danih trgovačkim društvima izvan javnog sektora (423,8%) te na kontu 8164 Povrat zajmova danih tuzemnim obrtnicima (222,5%).  Do povećanja primitaka došlo je zbog povećanog povrata zajmova</w:t>
      </w:r>
      <w:r w:rsidR="00271D14">
        <w:rPr>
          <w:rFonts w:asciiTheme="majorHAnsi" w:hAnsiTheme="majorHAnsi" w:cstheme="majorHAnsi"/>
          <w:lang w:val="hr-HR"/>
        </w:rPr>
        <w:t xml:space="preserve"> nakon isteka proteka roka mirovanja otplate zajmova uslijed pandemije Covid 19</w:t>
      </w:r>
      <w:r w:rsidR="00203AD5">
        <w:rPr>
          <w:rFonts w:asciiTheme="majorHAnsi" w:hAnsiTheme="majorHAnsi" w:cstheme="majorHAnsi"/>
          <w:lang w:val="hr-HR"/>
        </w:rPr>
        <w:t xml:space="preserve">.  </w:t>
      </w:r>
    </w:p>
    <w:p w14:paraId="26D987EF" w14:textId="2168E226" w:rsidR="002E0A84" w:rsidRDefault="00203AD5" w:rsidP="00990C1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odnosu na prethodnu godinu evidentirani su primici od povrata depozita </w:t>
      </w:r>
      <w:r w:rsidR="00050F79">
        <w:rPr>
          <w:rFonts w:asciiTheme="majorHAnsi" w:hAnsiTheme="majorHAnsi" w:cstheme="majorHAnsi"/>
          <w:lang w:val="hr-HR"/>
        </w:rPr>
        <w:t>o</w:t>
      </w:r>
      <w:r>
        <w:rPr>
          <w:rFonts w:asciiTheme="majorHAnsi" w:hAnsiTheme="majorHAnsi" w:cstheme="majorHAnsi"/>
          <w:lang w:val="hr-HR"/>
        </w:rPr>
        <w:t xml:space="preserve">d kreditnih institucija i ostalih financijskih institucija – tuzemni </w:t>
      </w:r>
      <w:r w:rsidR="00050F79">
        <w:rPr>
          <w:rFonts w:asciiTheme="majorHAnsi" w:hAnsiTheme="majorHAnsi" w:cstheme="majorHAnsi"/>
          <w:lang w:val="hr-HR"/>
        </w:rPr>
        <w:t xml:space="preserve"> na kontu 8181 u iznosu od 300.000.000,00 kn. </w:t>
      </w:r>
    </w:p>
    <w:p w14:paraId="4FB881AD" w14:textId="5073C101" w:rsidR="00050F79" w:rsidRPr="002D27AB" w:rsidRDefault="00050F79" w:rsidP="00990C1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Primi</w:t>
      </w:r>
      <w:r w:rsidR="004C25FE">
        <w:rPr>
          <w:rFonts w:asciiTheme="majorHAnsi" w:hAnsiTheme="majorHAnsi" w:cstheme="majorHAnsi"/>
          <w:lang w:val="hr-HR"/>
        </w:rPr>
        <w:t>ci</w:t>
      </w:r>
      <w:r>
        <w:rPr>
          <w:rFonts w:asciiTheme="majorHAnsi" w:hAnsiTheme="majorHAnsi" w:cstheme="majorHAnsi"/>
          <w:lang w:val="hr-HR"/>
        </w:rPr>
        <w:t xml:space="preserve"> od zaduživanja (84)</w:t>
      </w:r>
      <w:r w:rsidR="00271D14">
        <w:rPr>
          <w:rFonts w:asciiTheme="majorHAnsi" w:hAnsiTheme="majorHAnsi" w:cstheme="majorHAnsi"/>
          <w:lang w:val="hr-HR"/>
        </w:rPr>
        <w:t xml:space="preserve"> </w:t>
      </w:r>
      <w:r w:rsidR="004C25FE">
        <w:rPr>
          <w:rFonts w:asciiTheme="majorHAnsi" w:hAnsiTheme="majorHAnsi" w:cstheme="majorHAnsi"/>
          <w:lang w:val="hr-HR"/>
        </w:rPr>
        <w:t xml:space="preserve">su u odnosu na prethodnu godinu značajno smanjeni za 65,2 % uslijed iskorištenja dodijeljene alokacije za pojedini Financijski instrument dodijeljene </w:t>
      </w:r>
      <w:r w:rsidR="007B3401">
        <w:rPr>
          <w:rFonts w:asciiTheme="majorHAnsi" w:hAnsiTheme="majorHAnsi" w:cstheme="majorHAnsi"/>
          <w:lang w:val="hr-HR"/>
        </w:rPr>
        <w:t xml:space="preserve">od </w:t>
      </w:r>
      <w:r w:rsidR="00271D14">
        <w:rPr>
          <w:rFonts w:asciiTheme="majorHAnsi" w:hAnsiTheme="majorHAnsi" w:cstheme="majorHAnsi"/>
          <w:lang w:val="hr-HR"/>
        </w:rPr>
        <w:t>EU</w:t>
      </w:r>
      <w:r>
        <w:rPr>
          <w:rFonts w:asciiTheme="majorHAnsi" w:hAnsiTheme="majorHAnsi" w:cstheme="majorHAnsi"/>
          <w:lang w:val="hr-HR"/>
        </w:rPr>
        <w:t xml:space="preserve">. </w:t>
      </w:r>
    </w:p>
    <w:p w14:paraId="607BB73D" w14:textId="08CE1472" w:rsidR="00487088" w:rsidRPr="002D27AB" w:rsidRDefault="00C1674C" w:rsidP="00487088">
      <w:pPr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Stanje novčanih sredstava na početku izvještajnog razdoblja (11) je poraslo u odnosu na prethodnu godinu za 12,6 % </w:t>
      </w:r>
      <w:r w:rsidR="0079355A" w:rsidRPr="002D27AB">
        <w:rPr>
          <w:rFonts w:asciiTheme="majorHAnsi" w:hAnsiTheme="majorHAnsi" w:cstheme="majorHAnsi"/>
          <w:lang w:val="hr-HR"/>
        </w:rPr>
        <w:t>u</w:t>
      </w:r>
      <w:r w:rsidR="00487088" w:rsidRPr="002D27AB">
        <w:rPr>
          <w:rFonts w:asciiTheme="majorHAnsi" w:hAnsiTheme="majorHAnsi" w:cstheme="majorHAnsi"/>
          <w:lang w:val="hr-HR"/>
        </w:rPr>
        <w:t>slijed priljeva sredstava na posebnim računima koji služe za prihvat EU sredstva vezan</w:t>
      </w:r>
      <w:r w:rsidR="0079355A" w:rsidRPr="002D27AB">
        <w:rPr>
          <w:rFonts w:asciiTheme="majorHAnsi" w:hAnsiTheme="majorHAnsi" w:cstheme="majorHAnsi"/>
          <w:lang w:val="hr-HR"/>
        </w:rPr>
        <w:t>im</w:t>
      </w:r>
      <w:r w:rsidR="00487088" w:rsidRPr="002D27AB">
        <w:rPr>
          <w:rFonts w:asciiTheme="majorHAnsi" w:hAnsiTheme="majorHAnsi" w:cstheme="majorHAnsi"/>
          <w:lang w:val="hr-HR"/>
        </w:rPr>
        <w:t xml:space="preserve"> za </w:t>
      </w:r>
      <w:r w:rsidR="0079355A" w:rsidRPr="002D27AB">
        <w:rPr>
          <w:rFonts w:asciiTheme="majorHAnsi" w:hAnsiTheme="majorHAnsi" w:cstheme="majorHAnsi"/>
          <w:lang w:val="hr-HR"/>
        </w:rPr>
        <w:t>f</w:t>
      </w:r>
      <w:r w:rsidR="00487088" w:rsidRPr="002D27AB">
        <w:rPr>
          <w:rFonts w:asciiTheme="majorHAnsi" w:hAnsiTheme="majorHAnsi" w:cstheme="majorHAnsi"/>
          <w:lang w:val="hr-HR"/>
        </w:rPr>
        <w:t>inancijske instrumente iz Operativnog program</w:t>
      </w:r>
      <w:r w:rsidR="0079355A" w:rsidRPr="002D27AB">
        <w:rPr>
          <w:rFonts w:asciiTheme="majorHAnsi" w:hAnsiTheme="majorHAnsi" w:cstheme="majorHAnsi"/>
          <w:lang w:val="hr-HR"/>
        </w:rPr>
        <w:t>a</w:t>
      </w:r>
      <w:r w:rsidR="00487088" w:rsidRPr="002D27AB">
        <w:rPr>
          <w:rFonts w:asciiTheme="majorHAnsi" w:hAnsiTheme="majorHAnsi" w:cstheme="majorHAnsi"/>
          <w:lang w:val="hr-HR"/>
        </w:rPr>
        <w:t xml:space="preserve"> „Konkurentnost i kohezija“ 2014.-2020 te Program</w:t>
      </w:r>
      <w:r w:rsidR="0079355A" w:rsidRPr="002D27AB">
        <w:rPr>
          <w:rFonts w:asciiTheme="majorHAnsi" w:hAnsiTheme="majorHAnsi" w:cstheme="majorHAnsi"/>
          <w:lang w:val="hr-HR"/>
        </w:rPr>
        <w:t>a</w:t>
      </w:r>
      <w:r w:rsidR="00487088" w:rsidRPr="002D27AB">
        <w:rPr>
          <w:rFonts w:asciiTheme="majorHAnsi" w:hAnsiTheme="majorHAnsi" w:cstheme="majorHAnsi"/>
          <w:lang w:val="hr-HR"/>
        </w:rPr>
        <w:t xml:space="preserve"> ruralnog razvoja Republike Hrvatske za razdoblje 2014.-2020.</w:t>
      </w:r>
    </w:p>
    <w:p w14:paraId="441DB131" w14:textId="77777777" w:rsidR="00415B0C" w:rsidRPr="002D27AB" w:rsidRDefault="00415B0C" w:rsidP="00487088">
      <w:pPr>
        <w:jc w:val="both"/>
        <w:rPr>
          <w:rFonts w:asciiTheme="majorHAnsi" w:hAnsiTheme="majorHAnsi" w:cstheme="majorHAnsi"/>
          <w:lang w:val="hr-HR"/>
        </w:rPr>
      </w:pPr>
    </w:p>
    <w:p w14:paraId="53885BB1" w14:textId="3110B583" w:rsidR="00202ED1" w:rsidRPr="002D27AB" w:rsidRDefault="00202ED1" w:rsidP="0048708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val="hr-HR"/>
        </w:rPr>
      </w:pPr>
      <w:r w:rsidRPr="002D27AB">
        <w:rPr>
          <w:rFonts w:asciiTheme="majorHAnsi" w:hAnsiTheme="majorHAnsi" w:cstheme="majorHAnsi"/>
          <w:b/>
          <w:lang w:val="hr-HR"/>
        </w:rPr>
        <w:t>IZDACI</w:t>
      </w:r>
    </w:p>
    <w:p w14:paraId="69103383" w14:textId="77777777" w:rsidR="009E3A2E" w:rsidRPr="002D27AB" w:rsidRDefault="009E3A2E" w:rsidP="009E3A2E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b/>
          <w:lang w:val="hr-HR"/>
        </w:rPr>
      </w:pPr>
    </w:p>
    <w:p w14:paraId="70B69BA4" w14:textId="07D14AA9" w:rsidR="00A02BE0" w:rsidRPr="002D27AB" w:rsidRDefault="00CD1118" w:rsidP="00235CF1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Ukupni izdaci za financijsku imovinu i otplate zajmova (</w:t>
      </w:r>
      <w:r w:rsidR="00340CF5" w:rsidRPr="002D27AB">
        <w:rPr>
          <w:rFonts w:asciiTheme="majorHAnsi" w:hAnsiTheme="majorHAnsi" w:cstheme="majorHAnsi"/>
          <w:lang w:val="hr-HR"/>
        </w:rPr>
        <w:t>5</w:t>
      </w:r>
      <w:r w:rsidRPr="002D27AB">
        <w:rPr>
          <w:rFonts w:asciiTheme="majorHAnsi" w:hAnsiTheme="majorHAnsi" w:cstheme="majorHAnsi"/>
          <w:lang w:val="hr-HR"/>
        </w:rPr>
        <w:t>) iznos</w:t>
      </w:r>
      <w:r w:rsidR="00767541" w:rsidRPr="002D27AB">
        <w:rPr>
          <w:rFonts w:asciiTheme="majorHAnsi" w:hAnsiTheme="majorHAnsi" w:cstheme="majorHAnsi"/>
          <w:lang w:val="hr-HR"/>
        </w:rPr>
        <w:t>e</w:t>
      </w:r>
      <w:r w:rsidRPr="002D27AB">
        <w:rPr>
          <w:rFonts w:asciiTheme="majorHAnsi" w:hAnsiTheme="majorHAnsi" w:cstheme="majorHAnsi"/>
          <w:lang w:val="hr-HR"/>
        </w:rPr>
        <w:t xml:space="preserve"> </w:t>
      </w:r>
      <w:r w:rsidR="009E3A2E" w:rsidRPr="002D27AB">
        <w:rPr>
          <w:rFonts w:asciiTheme="majorHAnsi" w:hAnsiTheme="majorHAnsi" w:cstheme="majorHAnsi"/>
          <w:lang w:val="hr-HR"/>
        </w:rPr>
        <w:t>633.673.943</w:t>
      </w:r>
      <w:r w:rsidR="00050F79">
        <w:rPr>
          <w:rFonts w:asciiTheme="majorHAnsi" w:hAnsiTheme="majorHAnsi" w:cstheme="majorHAnsi"/>
          <w:lang w:val="hr-HR"/>
        </w:rPr>
        <w:t>,24</w:t>
      </w:r>
      <w:r w:rsidR="009E3A2E" w:rsidRPr="002D27AB">
        <w:rPr>
          <w:rFonts w:asciiTheme="majorHAnsi" w:hAnsiTheme="majorHAnsi" w:cstheme="majorHAnsi"/>
          <w:lang w:val="hr-HR"/>
        </w:rPr>
        <w:t xml:space="preserve"> </w:t>
      </w:r>
      <w:r w:rsidRPr="002D27AB">
        <w:rPr>
          <w:rFonts w:asciiTheme="majorHAnsi" w:hAnsiTheme="majorHAnsi" w:cstheme="majorHAnsi"/>
          <w:lang w:val="hr-HR"/>
        </w:rPr>
        <w:t>kn</w:t>
      </w:r>
      <w:r w:rsidR="00971AF2" w:rsidRPr="002D27AB">
        <w:rPr>
          <w:rFonts w:asciiTheme="majorHAnsi" w:hAnsiTheme="majorHAnsi" w:cstheme="majorHAnsi"/>
          <w:lang w:val="hr-HR"/>
        </w:rPr>
        <w:t xml:space="preserve"> i u odnosu na prethodnu godine </w:t>
      </w:r>
      <w:r w:rsidR="009E3A2E" w:rsidRPr="002D27AB">
        <w:rPr>
          <w:rFonts w:asciiTheme="majorHAnsi" w:hAnsiTheme="majorHAnsi" w:cstheme="majorHAnsi"/>
          <w:lang w:val="hr-HR"/>
        </w:rPr>
        <w:t xml:space="preserve">su </w:t>
      </w:r>
      <w:r w:rsidR="00340CF5" w:rsidRPr="002D27AB">
        <w:rPr>
          <w:rFonts w:asciiTheme="majorHAnsi" w:hAnsiTheme="majorHAnsi" w:cstheme="majorHAnsi"/>
          <w:lang w:val="hr-HR"/>
        </w:rPr>
        <w:t xml:space="preserve">smanjeni su za </w:t>
      </w:r>
      <w:r w:rsidR="009E3A2E" w:rsidRPr="002D27AB">
        <w:rPr>
          <w:rFonts w:asciiTheme="majorHAnsi" w:hAnsiTheme="majorHAnsi" w:cstheme="majorHAnsi"/>
          <w:lang w:val="hr-HR"/>
        </w:rPr>
        <w:t>49</w:t>
      </w:r>
      <w:r w:rsidR="00340CF5" w:rsidRPr="002D27AB">
        <w:rPr>
          <w:rFonts w:asciiTheme="majorHAnsi" w:hAnsiTheme="majorHAnsi" w:cstheme="majorHAnsi"/>
          <w:lang w:val="hr-HR"/>
        </w:rPr>
        <w:t>,</w:t>
      </w:r>
      <w:r w:rsidR="009E3A2E" w:rsidRPr="002D27AB">
        <w:rPr>
          <w:rFonts w:asciiTheme="majorHAnsi" w:hAnsiTheme="majorHAnsi" w:cstheme="majorHAnsi"/>
          <w:lang w:val="hr-HR"/>
        </w:rPr>
        <w:t>4</w:t>
      </w:r>
      <w:r w:rsidR="00340CF5" w:rsidRPr="002D27AB">
        <w:rPr>
          <w:rFonts w:asciiTheme="majorHAnsi" w:hAnsiTheme="majorHAnsi" w:cstheme="majorHAnsi"/>
          <w:lang w:val="hr-HR"/>
        </w:rPr>
        <w:t xml:space="preserve"> % </w:t>
      </w:r>
      <w:r w:rsidR="009E3A2E" w:rsidRPr="002D27AB">
        <w:rPr>
          <w:rFonts w:asciiTheme="majorHAnsi" w:hAnsiTheme="majorHAnsi" w:cstheme="majorHAnsi"/>
          <w:lang w:val="hr-HR"/>
        </w:rPr>
        <w:t xml:space="preserve">uslijed promjene načina evidentiranja isplate protestiranih jamstava poslovnim bankama koji se više ne evidentiraju kao </w:t>
      </w:r>
      <w:r w:rsidR="002D27AB">
        <w:rPr>
          <w:rFonts w:asciiTheme="majorHAnsi" w:hAnsiTheme="majorHAnsi" w:cstheme="majorHAnsi"/>
          <w:lang w:val="hr-HR"/>
        </w:rPr>
        <w:t>i</w:t>
      </w:r>
      <w:r w:rsidR="009E3A2E" w:rsidRPr="002D27AB">
        <w:rPr>
          <w:rFonts w:asciiTheme="majorHAnsi" w:hAnsiTheme="majorHAnsi" w:cstheme="majorHAnsi"/>
          <w:lang w:val="hr-HR"/>
        </w:rPr>
        <w:t xml:space="preserve">zdaci nego na grupi konta 3865. </w:t>
      </w:r>
    </w:p>
    <w:p w14:paraId="77574451" w14:textId="424096E8" w:rsidR="00A235A6" w:rsidRDefault="0029402F" w:rsidP="001D0AB6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Dionice i udjele u glavnici inozemnih kreditnih i ostalih financijskih institucija (5</w:t>
      </w:r>
      <w:r w:rsidR="00D10632" w:rsidRPr="002D27AB">
        <w:rPr>
          <w:rFonts w:asciiTheme="majorHAnsi" w:hAnsiTheme="majorHAnsi" w:cstheme="majorHAnsi"/>
          <w:lang w:val="hr-HR"/>
        </w:rPr>
        <w:t>3</w:t>
      </w:r>
      <w:r w:rsidRPr="002D27AB">
        <w:rPr>
          <w:rFonts w:asciiTheme="majorHAnsi" w:hAnsiTheme="majorHAnsi" w:cstheme="majorHAnsi"/>
          <w:lang w:val="hr-HR"/>
        </w:rPr>
        <w:t xml:space="preserve">) </w:t>
      </w:r>
      <w:r w:rsidR="00D10632" w:rsidRPr="002D27AB">
        <w:rPr>
          <w:rFonts w:asciiTheme="majorHAnsi" w:hAnsiTheme="majorHAnsi" w:cstheme="majorHAnsi"/>
          <w:lang w:val="hr-HR"/>
        </w:rPr>
        <w:t xml:space="preserve">smanjeni su u odnosu na prethodnu godinu za </w:t>
      </w:r>
      <w:r w:rsidR="004D071F" w:rsidRPr="002D27AB">
        <w:rPr>
          <w:rFonts w:asciiTheme="majorHAnsi" w:hAnsiTheme="majorHAnsi" w:cstheme="majorHAnsi"/>
          <w:lang w:val="hr-HR"/>
        </w:rPr>
        <w:t>4</w:t>
      </w:r>
      <w:r w:rsidR="00D10632" w:rsidRPr="002D27AB">
        <w:rPr>
          <w:rFonts w:asciiTheme="majorHAnsi" w:hAnsiTheme="majorHAnsi" w:cstheme="majorHAnsi"/>
          <w:lang w:val="hr-HR"/>
        </w:rPr>
        <w:t>1</w:t>
      </w:r>
      <w:r w:rsidR="004D071F" w:rsidRPr="002D27AB">
        <w:rPr>
          <w:rFonts w:asciiTheme="majorHAnsi" w:hAnsiTheme="majorHAnsi" w:cstheme="majorHAnsi"/>
          <w:lang w:val="hr-HR"/>
        </w:rPr>
        <w:t>,</w:t>
      </w:r>
      <w:r w:rsidR="00D10632" w:rsidRPr="002D27AB">
        <w:rPr>
          <w:rFonts w:asciiTheme="majorHAnsi" w:hAnsiTheme="majorHAnsi" w:cstheme="majorHAnsi"/>
          <w:lang w:val="hr-HR"/>
        </w:rPr>
        <w:t>5</w:t>
      </w:r>
      <w:r w:rsidR="004D071F" w:rsidRPr="002D27AB">
        <w:rPr>
          <w:rFonts w:asciiTheme="majorHAnsi" w:hAnsiTheme="majorHAnsi" w:cstheme="majorHAnsi"/>
          <w:lang w:val="hr-HR"/>
        </w:rPr>
        <w:t xml:space="preserve"> </w:t>
      </w:r>
      <w:r w:rsidR="00971AF2" w:rsidRPr="002D27AB">
        <w:rPr>
          <w:rFonts w:asciiTheme="majorHAnsi" w:hAnsiTheme="majorHAnsi" w:cstheme="majorHAnsi"/>
          <w:lang w:val="hr-HR"/>
        </w:rPr>
        <w:t xml:space="preserve">% </w:t>
      </w:r>
      <w:r w:rsidR="00D10632" w:rsidRPr="002D27AB">
        <w:rPr>
          <w:rFonts w:asciiTheme="majorHAnsi" w:hAnsiTheme="majorHAnsi" w:cstheme="majorHAnsi"/>
          <w:lang w:val="hr-HR"/>
        </w:rPr>
        <w:t>uslijed smanjenja intenziteta</w:t>
      </w:r>
      <w:r w:rsidRPr="002D27AB">
        <w:rPr>
          <w:rFonts w:asciiTheme="majorHAnsi" w:hAnsiTheme="majorHAnsi" w:cstheme="majorHAnsi"/>
          <w:lang w:val="hr-HR"/>
        </w:rPr>
        <w:t xml:space="preserve"> ulaganja u ENIF (venture capital fond osnovan na inicijativu Europske komisije, Europskog investicijskog fonda (EIF) i Europsk</w:t>
      </w:r>
      <w:r w:rsidR="004D071F" w:rsidRPr="002D27AB">
        <w:rPr>
          <w:rFonts w:asciiTheme="majorHAnsi" w:hAnsiTheme="majorHAnsi" w:cstheme="majorHAnsi"/>
          <w:lang w:val="hr-HR"/>
        </w:rPr>
        <w:t>u</w:t>
      </w:r>
      <w:r w:rsidRPr="002D27AB">
        <w:rPr>
          <w:rFonts w:asciiTheme="majorHAnsi" w:hAnsiTheme="majorHAnsi" w:cstheme="majorHAnsi"/>
          <w:lang w:val="hr-HR"/>
        </w:rPr>
        <w:t xml:space="preserve"> banke za </w:t>
      </w:r>
      <w:r w:rsidRPr="00050F79">
        <w:rPr>
          <w:rFonts w:asciiTheme="majorHAnsi" w:hAnsiTheme="majorHAnsi" w:cstheme="majorHAnsi"/>
          <w:color w:val="000000" w:themeColor="text1"/>
          <w:lang w:val="hr-HR"/>
        </w:rPr>
        <w:t>obnovu i razvoj (EBRD)</w:t>
      </w:r>
      <w:r w:rsidR="00454913" w:rsidRPr="00050F79">
        <w:rPr>
          <w:rFonts w:asciiTheme="majorHAnsi" w:hAnsiTheme="majorHAnsi" w:cstheme="majorHAnsi"/>
          <w:color w:val="000000" w:themeColor="text1"/>
          <w:lang w:val="hr-HR"/>
        </w:rPr>
        <w:t>)</w:t>
      </w:r>
      <w:r w:rsidR="00BE6CE2" w:rsidRPr="00050F79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684F0A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684F0A" w:rsidRPr="00684F0A">
        <w:rPr>
          <w:rFonts w:asciiTheme="majorHAnsi" w:hAnsiTheme="majorHAnsi" w:cstheme="majorHAnsi"/>
          <w:color w:val="000000" w:themeColor="text1"/>
          <w:lang w:val="hr-HR"/>
        </w:rPr>
        <w:t>Fondom upravlja vanjsko društvo (SCV Ventures) što otežava precizno predviđanje ulaganja u jednoj godini. Naime, ulaganja ovise o pregovorima između Fonda i start-upova koja se znaju odužiti te tako prijeći u sljedeću godinu ili se ista realiziraju kroz duži period u tranšama.</w:t>
      </w:r>
    </w:p>
    <w:p w14:paraId="71C81E08" w14:textId="25351CA2" w:rsidR="009D787E" w:rsidRDefault="009D787E" w:rsidP="001D0AB6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019832EB" w14:textId="6A7D9040" w:rsidR="009D787E" w:rsidRDefault="009D787E" w:rsidP="001D0AB6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Ukupni prihodi i primici (X678) u 2022. iznose 1.401.430.360,34 kn te rashodi i izdaci (Y345) iznose 808.650.264,41 kn. Iz navedenog proizlazi da je tijekom 2022. godine ostvaren Višak prihoda i primitaka (X005) u iznosu od 592.780.095,93 kn. Iz prethodne godine prenesen je višak prihoda i primitaka u iznosu od 226.517.151,09 kn</w:t>
      </w:r>
      <w:r w:rsidR="00C02E6E">
        <w:rPr>
          <w:rFonts w:asciiTheme="majorHAnsi" w:hAnsiTheme="majorHAnsi" w:cstheme="majorHAnsi"/>
          <w:color w:val="000000" w:themeColor="text1"/>
          <w:lang w:val="hr-HR"/>
        </w:rPr>
        <w:t xml:space="preserve"> te je ukupan višak prihoda i primitaka koji je raspoloživ u sljedećem razdoblju 819.297.247,02 kn. </w:t>
      </w:r>
    </w:p>
    <w:p w14:paraId="6E13E5E0" w14:textId="0F6FF413" w:rsidR="00CB1BEC" w:rsidRDefault="00CB1BEC" w:rsidP="001D0AB6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CB1BEC">
        <w:rPr>
          <w:rFonts w:asciiTheme="majorHAnsi" w:hAnsiTheme="majorHAnsi" w:cstheme="majorHAnsi"/>
          <w:color w:val="000000" w:themeColor="text1"/>
          <w:lang w:val="hr-HR"/>
        </w:rPr>
        <w:t>Višak prihoda i primitaka raspoloživ u sljedećem razdoblju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X006 iznosi 227.342.161,00 </w:t>
      </w:r>
      <w:r w:rsidR="00C62295">
        <w:rPr>
          <w:rFonts w:asciiTheme="majorHAnsi" w:hAnsiTheme="majorHAnsi" w:cstheme="majorHAnsi"/>
          <w:color w:val="000000" w:themeColor="text1"/>
          <w:lang w:val="hr-HR"/>
        </w:rPr>
        <w:t xml:space="preserve">kn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i manji je od </w:t>
      </w:r>
      <w:r w:rsidRPr="00CB1BEC">
        <w:rPr>
          <w:rFonts w:asciiTheme="majorHAnsi" w:hAnsiTheme="majorHAnsi" w:cstheme="majorHAnsi"/>
          <w:color w:val="000000" w:themeColor="text1"/>
          <w:lang w:val="hr-HR"/>
        </w:rPr>
        <w:t xml:space="preserve">Višak prihoda i primitaka </w:t>
      </w:r>
      <w:r>
        <w:rPr>
          <w:rFonts w:asciiTheme="majorHAnsi" w:hAnsiTheme="majorHAnsi" w:cstheme="majorHAnsi"/>
          <w:color w:val="000000" w:themeColor="text1"/>
          <w:lang w:val="hr-HR"/>
        </w:rPr>
        <w:t>–</w:t>
      </w:r>
      <w:r w:rsidRPr="00CB1BEC">
        <w:rPr>
          <w:rFonts w:asciiTheme="majorHAnsi" w:hAnsiTheme="majorHAnsi" w:cstheme="majorHAnsi"/>
          <w:color w:val="000000" w:themeColor="text1"/>
          <w:lang w:val="hr-HR"/>
        </w:rPr>
        <w:t xml:space="preserve"> prenesen</w:t>
      </w:r>
      <w:r>
        <w:rPr>
          <w:rFonts w:asciiTheme="majorHAnsi" w:hAnsiTheme="majorHAnsi" w:cstheme="majorHAnsi"/>
          <w:color w:val="000000" w:themeColor="text1"/>
          <w:lang w:val="hr-HR"/>
        </w:rPr>
        <w:t>i koji iznosi 226.517.151,09 iz 2021. jer je provedena Odluka o preraspodjeli rezultata odobrena od strane Upravnog odbora.</w:t>
      </w:r>
    </w:p>
    <w:p w14:paraId="67B0860E" w14:textId="77777777" w:rsidR="0067042F" w:rsidRPr="002D27AB" w:rsidRDefault="0067042F" w:rsidP="000E751D">
      <w:pPr>
        <w:jc w:val="both"/>
        <w:rPr>
          <w:rFonts w:asciiTheme="majorHAnsi" w:hAnsiTheme="majorHAnsi" w:cstheme="majorHAnsi"/>
          <w:b/>
          <w:lang w:val="hr-HR"/>
        </w:rPr>
      </w:pPr>
    </w:p>
    <w:p w14:paraId="5E1ACD38" w14:textId="77777777" w:rsidR="006772D7" w:rsidRDefault="006772D7" w:rsidP="000E751D">
      <w:pPr>
        <w:jc w:val="both"/>
        <w:rPr>
          <w:rFonts w:asciiTheme="majorHAnsi" w:hAnsiTheme="majorHAnsi" w:cstheme="majorHAnsi"/>
          <w:b/>
          <w:u w:val="single"/>
          <w:lang w:val="hr-HR"/>
        </w:rPr>
      </w:pPr>
    </w:p>
    <w:p w14:paraId="3D5CBE75" w14:textId="77777777" w:rsidR="006772D7" w:rsidRDefault="006772D7" w:rsidP="000E751D">
      <w:pPr>
        <w:jc w:val="both"/>
        <w:rPr>
          <w:rFonts w:asciiTheme="majorHAnsi" w:hAnsiTheme="majorHAnsi" w:cstheme="majorHAnsi"/>
          <w:b/>
          <w:u w:val="single"/>
          <w:lang w:val="hr-HR"/>
        </w:rPr>
      </w:pPr>
    </w:p>
    <w:p w14:paraId="5C545158" w14:textId="77777777" w:rsidR="006772D7" w:rsidRDefault="006772D7" w:rsidP="000E751D">
      <w:pPr>
        <w:jc w:val="both"/>
        <w:rPr>
          <w:rFonts w:asciiTheme="majorHAnsi" w:hAnsiTheme="majorHAnsi" w:cstheme="majorHAnsi"/>
          <w:b/>
          <w:u w:val="single"/>
          <w:lang w:val="hr-HR"/>
        </w:rPr>
      </w:pPr>
    </w:p>
    <w:p w14:paraId="5BAF8B8A" w14:textId="77777777" w:rsidR="00690CEE" w:rsidRDefault="00690CEE" w:rsidP="000E751D">
      <w:pPr>
        <w:jc w:val="both"/>
        <w:rPr>
          <w:rFonts w:asciiTheme="majorHAnsi" w:hAnsiTheme="majorHAnsi" w:cstheme="majorHAnsi"/>
          <w:b/>
          <w:u w:val="single"/>
          <w:lang w:val="hr-HR"/>
        </w:rPr>
      </w:pPr>
    </w:p>
    <w:p w14:paraId="62F26CF6" w14:textId="2DC0E21F" w:rsidR="00057F09" w:rsidRPr="002D27AB" w:rsidRDefault="00057F09" w:rsidP="000E751D">
      <w:pPr>
        <w:jc w:val="both"/>
        <w:rPr>
          <w:rFonts w:asciiTheme="majorHAnsi" w:hAnsiTheme="majorHAnsi" w:cstheme="majorHAnsi"/>
          <w:b/>
          <w:u w:val="single"/>
          <w:lang w:val="hr-HR"/>
        </w:rPr>
      </w:pPr>
      <w:r w:rsidRPr="002D27AB">
        <w:rPr>
          <w:rFonts w:asciiTheme="majorHAnsi" w:hAnsiTheme="majorHAnsi" w:cstheme="majorHAnsi"/>
          <w:b/>
          <w:u w:val="single"/>
          <w:lang w:val="hr-HR"/>
        </w:rPr>
        <w:t xml:space="preserve">Bilješke uz Bilancu </w:t>
      </w:r>
    </w:p>
    <w:p w14:paraId="49C07FA8" w14:textId="77777777" w:rsidR="00C90D65" w:rsidRPr="002D27AB" w:rsidRDefault="00C90D65" w:rsidP="000E751D">
      <w:pPr>
        <w:jc w:val="both"/>
        <w:rPr>
          <w:rFonts w:asciiTheme="majorHAnsi" w:hAnsiTheme="majorHAnsi" w:cstheme="majorHAnsi"/>
          <w:b/>
          <w:u w:val="single"/>
          <w:lang w:val="hr-HR"/>
        </w:rPr>
      </w:pP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2126"/>
        <w:gridCol w:w="1412"/>
      </w:tblGrid>
      <w:tr w:rsidR="00697F38" w:rsidRPr="002D27AB" w14:paraId="5825A0D9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1238F761" w14:textId="57D58C56" w:rsidR="003C5BEA" w:rsidRPr="00C90D65" w:rsidRDefault="003C5BEA" w:rsidP="003C5BE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C547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BILANCA</w:t>
            </w:r>
          </w:p>
        </w:tc>
        <w:tc>
          <w:tcPr>
            <w:tcW w:w="2127" w:type="dxa"/>
            <w:hideMark/>
          </w:tcPr>
          <w:p w14:paraId="2E76F445" w14:textId="58A6CA7D" w:rsidR="003C5BEA" w:rsidRPr="00C90D65" w:rsidRDefault="003C5BEA" w:rsidP="003C5BEA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C547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Stanje 01.01.2022.</w:t>
            </w:r>
          </w:p>
        </w:tc>
        <w:tc>
          <w:tcPr>
            <w:tcW w:w="2126" w:type="dxa"/>
            <w:hideMark/>
          </w:tcPr>
          <w:p w14:paraId="2485BF1A" w14:textId="1C8D03DA" w:rsidR="003C5BEA" w:rsidRPr="00C90D65" w:rsidRDefault="003C5BEA" w:rsidP="003C5BEA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C547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Stanje 31.12.2022.</w:t>
            </w:r>
          </w:p>
        </w:tc>
        <w:tc>
          <w:tcPr>
            <w:tcW w:w="1412" w:type="dxa"/>
            <w:noWrap/>
            <w:hideMark/>
          </w:tcPr>
          <w:p w14:paraId="3A011F96" w14:textId="7B83C222" w:rsidR="003C5BEA" w:rsidRPr="00C90D65" w:rsidRDefault="003C5BEA" w:rsidP="003C5BEA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CC5471">
              <w:rPr>
                <w:rFonts w:asciiTheme="majorHAnsi" w:hAnsiTheme="majorHAnsi" w:cstheme="majorHAnsi"/>
                <w:b/>
                <w:bCs/>
                <w:color w:val="000000"/>
                <w:lang w:val="hr-HR"/>
              </w:rPr>
              <w:t>Indeks</w:t>
            </w:r>
          </w:p>
        </w:tc>
      </w:tr>
      <w:tr w:rsidR="00697F38" w:rsidRPr="002D27AB" w14:paraId="6ECCABD0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36987921" w14:textId="1E2EAC21" w:rsidR="003C5BEA" w:rsidRPr="00D85397" w:rsidRDefault="003C5BEA" w:rsidP="00697F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IMOVINA (B001)</w:t>
            </w:r>
          </w:p>
        </w:tc>
        <w:tc>
          <w:tcPr>
            <w:tcW w:w="2127" w:type="dxa"/>
            <w:hideMark/>
          </w:tcPr>
          <w:p w14:paraId="126BA7BB" w14:textId="2E8002F5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3.997.256.674</w:t>
            </w:r>
            <w:r w:rsidR="00B15BB4"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470E6203" w14:textId="79B6EABE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4.</w:t>
            </w:r>
            <w:r w:rsidR="00FA3D45"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287.033.861,55</w:t>
            </w:r>
          </w:p>
        </w:tc>
        <w:tc>
          <w:tcPr>
            <w:tcW w:w="1412" w:type="dxa"/>
            <w:noWrap/>
            <w:hideMark/>
          </w:tcPr>
          <w:p w14:paraId="0DD2E5F5" w14:textId="09C33AD7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lang w:val="hr-HR"/>
              </w:rPr>
              <w:t>107,</w:t>
            </w:r>
            <w:r w:rsidR="00FA3D45" w:rsidRPr="00D85397">
              <w:rPr>
                <w:rFonts w:asciiTheme="majorHAnsi" w:hAnsiTheme="majorHAnsi" w:cstheme="majorHAnsi"/>
                <w:b/>
                <w:bCs/>
                <w:color w:val="000000"/>
                <w:lang w:val="hr-HR"/>
              </w:rPr>
              <w:t>2</w:t>
            </w:r>
          </w:p>
        </w:tc>
      </w:tr>
      <w:tr w:rsidR="00697F38" w:rsidRPr="002D27AB" w14:paraId="42A5337B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3CE8332A" w14:textId="7FB40C62" w:rsidR="003C5BEA" w:rsidRPr="00D85397" w:rsidRDefault="003C5BEA" w:rsidP="00697F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Nefinancijska imovina (B002)</w:t>
            </w:r>
          </w:p>
        </w:tc>
        <w:tc>
          <w:tcPr>
            <w:tcW w:w="2127" w:type="dxa"/>
            <w:hideMark/>
          </w:tcPr>
          <w:p w14:paraId="32FF9B9D" w14:textId="12489621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69.972.727</w:t>
            </w:r>
            <w:r w:rsidR="00B15BB4"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1301A935" w14:textId="01578AC1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69.988.520</w:t>
            </w:r>
            <w:r w:rsidR="00B15BB4"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,25</w:t>
            </w:r>
          </w:p>
        </w:tc>
        <w:tc>
          <w:tcPr>
            <w:tcW w:w="1412" w:type="dxa"/>
            <w:noWrap/>
            <w:hideMark/>
          </w:tcPr>
          <w:p w14:paraId="41C5218F" w14:textId="21B50633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lang w:val="hr-HR"/>
              </w:rPr>
              <w:t>100,0</w:t>
            </w:r>
          </w:p>
        </w:tc>
      </w:tr>
      <w:tr w:rsidR="00697F38" w:rsidRPr="002D27AB" w14:paraId="25E97C92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56B4C8EE" w14:textId="2DA3D9D5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Neproizvedena dugotrajna imovina (01)</w:t>
            </w:r>
          </w:p>
        </w:tc>
        <w:tc>
          <w:tcPr>
            <w:tcW w:w="2127" w:type="dxa"/>
            <w:hideMark/>
          </w:tcPr>
          <w:p w14:paraId="708D24BB" w14:textId="40DD0BF7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160.785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71C704B4" w14:textId="466B583F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429.673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,01</w:t>
            </w:r>
          </w:p>
        </w:tc>
        <w:tc>
          <w:tcPr>
            <w:tcW w:w="1412" w:type="dxa"/>
            <w:noWrap/>
            <w:hideMark/>
          </w:tcPr>
          <w:p w14:paraId="7B0C6772" w14:textId="09CC4B0F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267,2</w:t>
            </w:r>
            <w:r w:rsidR="00B15BB4">
              <w:rPr>
                <w:rFonts w:asciiTheme="majorHAnsi" w:hAnsiTheme="majorHAnsi" w:cstheme="majorHAnsi"/>
                <w:color w:val="000000"/>
                <w:lang w:val="hr-HR"/>
              </w:rPr>
              <w:t>0</w:t>
            </w:r>
          </w:p>
        </w:tc>
      </w:tr>
      <w:tr w:rsidR="00697F38" w:rsidRPr="002D27AB" w14:paraId="3B6EC9B3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095CC622" w14:textId="6D2D8C66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Proizvedena dugotrajna imovina (02)</w:t>
            </w:r>
          </w:p>
        </w:tc>
        <w:tc>
          <w:tcPr>
            <w:tcW w:w="2127" w:type="dxa"/>
            <w:hideMark/>
          </w:tcPr>
          <w:p w14:paraId="4729B8B4" w14:textId="4F9E988A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69.811.942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269FADA1" w14:textId="6301142E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69.558.847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,24</w:t>
            </w:r>
          </w:p>
        </w:tc>
        <w:tc>
          <w:tcPr>
            <w:tcW w:w="1412" w:type="dxa"/>
            <w:noWrap/>
            <w:hideMark/>
          </w:tcPr>
          <w:p w14:paraId="56D4C3F7" w14:textId="06FB7710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99,6</w:t>
            </w:r>
          </w:p>
        </w:tc>
      </w:tr>
      <w:tr w:rsidR="00697F38" w:rsidRPr="002D27AB" w14:paraId="3D560BC9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243CB23E" w14:textId="1AB793FC" w:rsidR="003C5BEA" w:rsidRPr="00D85397" w:rsidRDefault="003C5BEA" w:rsidP="00697F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Financijska imovina (1)</w:t>
            </w:r>
          </w:p>
        </w:tc>
        <w:tc>
          <w:tcPr>
            <w:tcW w:w="2127" w:type="dxa"/>
            <w:hideMark/>
          </w:tcPr>
          <w:p w14:paraId="478EC2AC" w14:textId="42939888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3.927.283.947</w:t>
            </w:r>
            <w:r w:rsidR="00B15BB4"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4ACF2BA2" w14:textId="19C6D0FC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4.211.610.272</w:t>
            </w:r>
            <w:r w:rsidR="00B15BB4" w:rsidRPr="00D853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,14</w:t>
            </w:r>
          </w:p>
        </w:tc>
        <w:tc>
          <w:tcPr>
            <w:tcW w:w="1412" w:type="dxa"/>
            <w:noWrap/>
            <w:hideMark/>
          </w:tcPr>
          <w:p w14:paraId="08C9B5F4" w14:textId="5F2B44DD" w:rsidR="003C5BEA" w:rsidRPr="00D85397" w:rsidRDefault="003C5BEA" w:rsidP="00697F38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hr-HR" w:eastAsia="hr-HR"/>
              </w:rPr>
            </w:pPr>
            <w:r w:rsidRPr="00D85397">
              <w:rPr>
                <w:rFonts w:asciiTheme="majorHAnsi" w:hAnsiTheme="majorHAnsi" w:cstheme="majorHAnsi"/>
                <w:b/>
                <w:bCs/>
                <w:color w:val="000000"/>
                <w:lang w:val="hr-HR"/>
              </w:rPr>
              <w:t>107,2</w:t>
            </w:r>
          </w:p>
        </w:tc>
      </w:tr>
      <w:tr w:rsidR="00697F38" w:rsidRPr="002D27AB" w14:paraId="15B1FC75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290EF610" w14:textId="376A2F23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Novac u banci (11)</w:t>
            </w:r>
          </w:p>
        </w:tc>
        <w:tc>
          <w:tcPr>
            <w:tcW w:w="2127" w:type="dxa"/>
            <w:hideMark/>
          </w:tcPr>
          <w:p w14:paraId="3E0287B3" w14:textId="65F0B8BE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553.160.309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021CA73D" w14:textId="17EE6324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989.768.472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,47</w:t>
            </w:r>
          </w:p>
        </w:tc>
        <w:tc>
          <w:tcPr>
            <w:tcW w:w="1412" w:type="dxa"/>
            <w:noWrap/>
            <w:hideMark/>
          </w:tcPr>
          <w:p w14:paraId="20486E08" w14:textId="1071C11D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178,9</w:t>
            </w:r>
          </w:p>
        </w:tc>
      </w:tr>
      <w:tr w:rsidR="00697F38" w:rsidRPr="002D27AB" w14:paraId="3B5315F8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682ECCEC" w14:textId="5BD9E980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Depoziti, jamčevni depoziti i potraživanja od zaposlenih te za više plaćene poreze i ostalo (12)</w:t>
            </w:r>
          </w:p>
        </w:tc>
        <w:tc>
          <w:tcPr>
            <w:tcW w:w="2127" w:type="dxa"/>
            <w:hideMark/>
          </w:tcPr>
          <w:p w14:paraId="66787151" w14:textId="456A1AD5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300.818.1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10,00</w:t>
            </w:r>
          </w:p>
        </w:tc>
        <w:tc>
          <w:tcPr>
            <w:tcW w:w="2126" w:type="dxa"/>
            <w:hideMark/>
          </w:tcPr>
          <w:p w14:paraId="35A02CBC" w14:textId="1206A9BD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280.966.461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,01</w:t>
            </w:r>
          </w:p>
        </w:tc>
        <w:tc>
          <w:tcPr>
            <w:tcW w:w="1412" w:type="dxa"/>
            <w:noWrap/>
            <w:hideMark/>
          </w:tcPr>
          <w:p w14:paraId="5CE0E8E2" w14:textId="530CD17F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93,4</w:t>
            </w:r>
          </w:p>
        </w:tc>
      </w:tr>
      <w:tr w:rsidR="00697F38" w:rsidRPr="002D27AB" w14:paraId="77B0035F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7D7EAC33" w14:textId="4E86BC17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Potraživanja za dane zajmove (13)</w:t>
            </w:r>
          </w:p>
        </w:tc>
        <w:tc>
          <w:tcPr>
            <w:tcW w:w="2127" w:type="dxa"/>
            <w:hideMark/>
          </w:tcPr>
          <w:p w14:paraId="7FA109F3" w14:textId="719676C1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2.935.528.954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60079EFE" w14:textId="3EB3642F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2.813.709.662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,42</w:t>
            </w:r>
          </w:p>
        </w:tc>
        <w:tc>
          <w:tcPr>
            <w:tcW w:w="1412" w:type="dxa"/>
            <w:noWrap/>
            <w:hideMark/>
          </w:tcPr>
          <w:p w14:paraId="1F6B6FE2" w14:textId="23FB1277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95,9</w:t>
            </w:r>
          </w:p>
        </w:tc>
      </w:tr>
      <w:tr w:rsidR="00697F38" w:rsidRPr="002D27AB" w14:paraId="0720FCC6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367E3E49" w14:textId="09925325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Dionice i udjeli u glavnici (15)</w:t>
            </w:r>
          </w:p>
        </w:tc>
        <w:tc>
          <w:tcPr>
            <w:tcW w:w="2127" w:type="dxa"/>
            <w:hideMark/>
          </w:tcPr>
          <w:p w14:paraId="24284A37" w14:textId="67288A48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12.267.075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38B3F5B3" w14:textId="373D6EEA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10.021.458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,02</w:t>
            </w:r>
          </w:p>
        </w:tc>
        <w:tc>
          <w:tcPr>
            <w:tcW w:w="1412" w:type="dxa"/>
            <w:noWrap/>
            <w:hideMark/>
          </w:tcPr>
          <w:p w14:paraId="6AE5A612" w14:textId="2720868F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81,7</w:t>
            </w:r>
          </w:p>
        </w:tc>
      </w:tr>
      <w:tr w:rsidR="00697F38" w:rsidRPr="002D27AB" w14:paraId="02AF019B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178DF1B4" w14:textId="40727125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Potraživanja za prihode poslovanja (16)</w:t>
            </w:r>
          </w:p>
        </w:tc>
        <w:tc>
          <w:tcPr>
            <w:tcW w:w="2127" w:type="dxa"/>
            <w:hideMark/>
          </w:tcPr>
          <w:p w14:paraId="3B7E3B97" w14:textId="4855A842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120.738.666</w:t>
            </w:r>
            <w:r w:rsidR="00B15BB4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74C0E858" w14:textId="62505FD8" w:rsidR="003C5BEA" w:rsidRPr="00C90D65" w:rsidRDefault="00FA3D45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  <w:t>116.724684,67</w:t>
            </w:r>
          </w:p>
        </w:tc>
        <w:tc>
          <w:tcPr>
            <w:tcW w:w="1412" w:type="dxa"/>
            <w:noWrap/>
            <w:hideMark/>
          </w:tcPr>
          <w:p w14:paraId="279E65AA" w14:textId="571BDB71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9</w:t>
            </w:r>
            <w:r w:rsidR="00FA3D45">
              <w:rPr>
                <w:rFonts w:asciiTheme="majorHAnsi" w:hAnsiTheme="majorHAnsi" w:cstheme="majorHAnsi"/>
                <w:color w:val="000000"/>
                <w:lang w:val="hr-HR"/>
              </w:rPr>
              <w:t>6</w:t>
            </w: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,</w:t>
            </w:r>
            <w:r w:rsidR="00FA3D45">
              <w:rPr>
                <w:rFonts w:asciiTheme="majorHAnsi" w:hAnsiTheme="majorHAnsi" w:cstheme="majorHAnsi"/>
                <w:color w:val="000000"/>
                <w:lang w:val="hr-HR"/>
              </w:rPr>
              <w:t>7</w:t>
            </w:r>
          </w:p>
        </w:tc>
      </w:tr>
      <w:tr w:rsidR="00697F38" w:rsidRPr="002D27AB" w14:paraId="48381AD3" w14:textId="77777777" w:rsidTr="00697F38">
        <w:trPr>
          <w:trHeight w:val="488"/>
        </w:trPr>
        <w:tc>
          <w:tcPr>
            <w:tcW w:w="3397" w:type="dxa"/>
            <w:noWrap/>
            <w:hideMark/>
          </w:tcPr>
          <w:p w14:paraId="0EDD386E" w14:textId="2F35AC2B" w:rsidR="003C5BEA" w:rsidRPr="00C90D65" w:rsidRDefault="003C5BEA" w:rsidP="00697F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OBVEZE I VLASTITI IZVORI (B003)</w:t>
            </w:r>
          </w:p>
        </w:tc>
        <w:tc>
          <w:tcPr>
            <w:tcW w:w="2127" w:type="dxa"/>
            <w:hideMark/>
          </w:tcPr>
          <w:p w14:paraId="57CA9261" w14:textId="0EA3A8DD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3.997.256.674</w:t>
            </w:r>
            <w:r w:rsidR="002B538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  <w:hideMark/>
          </w:tcPr>
          <w:p w14:paraId="115E697C" w14:textId="5AC1DDB6" w:rsidR="003C5BEA" w:rsidRPr="00C90D65" w:rsidRDefault="00FA3D45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4.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287.033.861,55</w:t>
            </w:r>
          </w:p>
        </w:tc>
        <w:tc>
          <w:tcPr>
            <w:tcW w:w="1412" w:type="dxa"/>
            <w:noWrap/>
            <w:hideMark/>
          </w:tcPr>
          <w:p w14:paraId="6E017025" w14:textId="33F4C2B6" w:rsidR="003C5BEA" w:rsidRPr="00C90D65" w:rsidRDefault="003C5BEA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lang w:val="hr-HR"/>
              </w:rPr>
              <w:t>107,</w:t>
            </w:r>
            <w:r w:rsidR="00FA3D45">
              <w:rPr>
                <w:rFonts w:asciiTheme="majorHAnsi" w:hAnsiTheme="majorHAnsi" w:cstheme="majorHAnsi"/>
                <w:color w:val="000000"/>
                <w:lang w:val="hr-HR"/>
              </w:rPr>
              <w:t>2</w:t>
            </w:r>
          </w:p>
        </w:tc>
      </w:tr>
      <w:tr w:rsidR="00697F38" w:rsidRPr="002D27AB" w14:paraId="477F5A03" w14:textId="77777777" w:rsidTr="00697F38">
        <w:trPr>
          <w:trHeight w:val="489"/>
        </w:trPr>
        <w:tc>
          <w:tcPr>
            <w:tcW w:w="3397" w:type="dxa"/>
            <w:noWrap/>
          </w:tcPr>
          <w:p w14:paraId="2093CFB0" w14:textId="34BCFA15" w:rsidR="006A16BE" w:rsidRPr="002D27AB" w:rsidRDefault="006A16BE" w:rsidP="00697F38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2D27AB">
              <w:rPr>
                <w:rFonts w:asciiTheme="majorHAnsi" w:hAnsiTheme="majorHAnsi" w:cstheme="majorHAnsi"/>
                <w:lang w:val="hr-HR"/>
              </w:rPr>
              <w:t>Izvanbilančni zapisi -aktiva (</w:t>
            </w:r>
            <w:r w:rsidR="002D27AB">
              <w:rPr>
                <w:rFonts w:asciiTheme="majorHAnsi" w:hAnsiTheme="majorHAnsi" w:cstheme="majorHAnsi"/>
                <w:lang w:val="hr-HR"/>
              </w:rPr>
              <w:t>991</w:t>
            </w:r>
            <w:r w:rsidRPr="002D27AB">
              <w:rPr>
                <w:rFonts w:asciiTheme="majorHAnsi" w:hAnsiTheme="majorHAnsi" w:cstheme="majorHAnsi"/>
                <w:lang w:val="hr-HR"/>
              </w:rPr>
              <w:t>)</w:t>
            </w:r>
          </w:p>
        </w:tc>
        <w:tc>
          <w:tcPr>
            <w:tcW w:w="2127" w:type="dxa"/>
          </w:tcPr>
          <w:p w14:paraId="61936355" w14:textId="30D3588E" w:rsidR="006A16BE" w:rsidRPr="002D27AB" w:rsidRDefault="006A16BE" w:rsidP="00697F38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2D27AB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10.414.606.153</w:t>
            </w:r>
            <w:r w:rsidR="002B538B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,00</w:t>
            </w:r>
          </w:p>
        </w:tc>
        <w:tc>
          <w:tcPr>
            <w:tcW w:w="2126" w:type="dxa"/>
          </w:tcPr>
          <w:p w14:paraId="1D1E0B88" w14:textId="41D2C5CF" w:rsidR="006A16BE" w:rsidRPr="002D27AB" w:rsidRDefault="006A16BE" w:rsidP="00697F3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hr-HR" w:eastAsia="hr-HR"/>
              </w:rPr>
            </w:pPr>
            <w:r w:rsidRPr="002D27A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10.309.963.161</w:t>
            </w:r>
            <w:r w:rsidR="002B538B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>,29</w:t>
            </w:r>
          </w:p>
          <w:p w14:paraId="6E56B042" w14:textId="491FB5F0" w:rsidR="006A16BE" w:rsidRPr="002D27AB" w:rsidRDefault="006A16BE" w:rsidP="00697F38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12" w:type="dxa"/>
            <w:noWrap/>
          </w:tcPr>
          <w:p w14:paraId="0EB4C1E6" w14:textId="79C2BB26" w:rsidR="006A16BE" w:rsidRPr="002D27AB" w:rsidRDefault="006A16BE" w:rsidP="00697F38">
            <w:pPr>
              <w:jc w:val="right"/>
              <w:rPr>
                <w:rFonts w:asciiTheme="majorHAnsi" w:hAnsiTheme="majorHAnsi" w:cstheme="majorHAnsi"/>
                <w:color w:val="000000"/>
                <w:lang w:val="hr-HR"/>
              </w:rPr>
            </w:pPr>
            <w:r w:rsidRPr="002D27AB">
              <w:rPr>
                <w:rFonts w:asciiTheme="majorHAnsi" w:hAnsiTheme="majorHAnsi" w:cstheme="majorHAnsi"/>
                <w:lang w:val="hr-HR"/>
              </w:rPr>
              <w:t>99,0</w:t>
            </w:r>
          </w:p>
        </w:tc>
      </w:tr>
    </w:tbl>
    <w:p w14:paraId="755F09B5" w14:textId="7AB697A8" w:rsidR="00BF4876" w:rsidRPr="002D27AB" w:rsidRDefault="00BF4876" w:rsidP="000E751D">
      <w:pPr>
        <w:jc w:val="both"/>
        <w:rPr>
          <w:rFonts w:asciiTheme="majorHAnsi" w:hAnsiTheme="majorHAnsi" w:cstheme="majorHAnsi"/>
          <w:b/>
          <w:lang w:val="hr-HR"/>
        </w:rPr>
      </w:pPr>
    </w:p>
    <w:p w14:paraId="28C65B7F" w14:textId="49442D8F" w:rsidR="00D85397" w:rsidRDefault="00D85397" w:rsidP="00D85397">
      <w:pPr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Neproizvedena dugotrajna imovina (01) povećala se u odnosu na prethodnu godinu za 167,2 %, a  povećanje se odnosi na nabavu novih licenci za redovno poslovanje Hamag-Bicra</w:t>
      </w:r>
      <w:r>
        <w:rPr>
          <w:rFonts w:asciiTheme="majorHAnsi" w:hAnsiTheme="majorHAnsi" w:cstheme="majorHAnsi"/>
          <w:lang w:val="hr-HR"/>
        </w:rPr>
        <w:t xml:space="preserve"> s naglaskom na aktivnosti Programa ruralnog razvoja i Mreže potpornih poduzetničkih institucija -BOND.</w:t>
      </w:r>
    </w:p>
    <w:p w14:paraId="5CB0DF11" w14:textId="3B452601" w:rsidR="00D85397" w:rsidRDefault="00D85397" w:rsidP="00D8539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</w:t>
      </w:r>
      <w:r w:rsidR="00050387">
        <w:rPr>
          <w:rFonts w:asciiTheme="majorHAnsi" w:hAnsiTheme="majorHAnsi" w:cstheme="majorHAnsi"/>
          <w:lang w:val="hr-HR"/>
        </w:rPr>
        <w:t>ovećanje</w:t>
      </w:r>
      <w:r>
        <w:rPr>
          <w:rFonts w:asciiTheme="majorHAnsi" w:hAnsiTheme="majorHAnsi" w:cstheme="majorHAnsi"/>
          <w:lang w:val="hr-HR"/>
        </w:rPr>
        <w:t xml:space="preserve"> na stavkama bilance (022 i 02922) od 18,9</w:t>
      </w:r>
      <w:r w:rsidR="00F12C1C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% odnos</w:t>
      </w:r>
      <w:r w:rsidR="006562D2">
        <w:rPr>
          <w:rFonts w:asciiTheme="majorHAnsi" w:hAnsiTheme="majorHAnsi" w:cstheme="majorHAnsi"/>
          <w:lang w:val="hr-HR"/>
        </w:rPr>
        <w:t>i</w:t>
      </w:r>
      <w:r>
        <w:rPr>
          <w:rFonts w:asciiTheme="majorHAnsi" w:hAnsiTheme="majorHAnsi" w:cstheme="majorHAnsi"/>
          <w:lang w:val="hr-HR"/>
        </w:rPr>
        <w:t xml:space="preserve"> se na nabavu uredske opreme i namještaja te komunikacijske opreme iz </w:t>
      </w:r>
      <w:r w:rsidR="00822D34">
        <w:rPr>
          <w:rFonts w:asciiTheme="majorHAnsi" w:hAnsiTheme="majorHAnsi" w:cstheme="majorHAnsi"/>
          <w:lang w:val="hr-HR"/>
        </w:rPr>
        <w:t>aktivnost</w:t>
      </w:r>
      <w:r w:rsidR="006562D2">
        <w:rPr>
          <w:rFonts w:asciiTheme="majorHAnsi" w:hAnsiTheme="majorHAnsi" w:cstheme="majorHAnsi"/>
          <w:lang w:val="hr-HR"/>
        </w:rPr>
        <w:t>i</w:t>
      </w:r>
      <w:r>
        <w:rPr>
          <w:rFonts w:asciiTheme="majorHAnsi" w:hAnsiTheme="majorHAnsi" w:cstheme="majorHAnsi"/>
          <w:lang w:val="hr-HR"/>
        </w:rPr>
        <w:t xml:space="preserve"> OP Konkurentnost i kohezija, Naknade za upravljanje financijskim instrumentima -</w:t>
      </w:r>
      <w:r w:rsidR="00292153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ESIF,</w:t>
      </w:r>
      <w:r w:rsidRPr="00DD206B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Mrež</w:t>
      </w:r>
      <w:r w:rsidR="006562D2">
        <w:rPr>
          <w:rFonts w:asciiTheme="majorHAnsi" w:hAnsiTheme="majorHAnsi" w:cstheme="majorHAnsi"/>
          <w:lang w:val="hr-HR"/>
        </w:rPr>
        <w:t>e</w:t>
      </w:r>
      <w:r>
        <w:rPr>
          <w:rFonts w:asciiTheme="majorHAnsi" w:hAnsiTheme="majorHAnsi" w:cstheme="majorHAnsi"/>
          <w:lang w:val="hr-HR"/>
        </w:rPr>
        <w:t xml:space="preserve"> potpornih poduzetničkih institucija -BOND i Program</w:t>
      </w:r>
      <w:r w:rsidR="00822D34">
        <w:rPr>
          <w:rFonts w:asciiTheme="majorHAnsi" w:hAnsiTheme="majorHAnsi" w:cstheme="majorHAnsi"/>
          <w:lang w:val="hr-HR"/>
        </w:rPr>
        <w:t>a</w:t>
      </w:r>
      <w:r>
        <w:rPr>
          <w:rFonts w:asciiTheme="majorHAnsi" w:hAnsiTheme="majorHAnsi" w:cstheme="majorHAnsi"/>
          <w:lang w:val="hr-HR"/>
        </w:rPr>
        <w:t xml:space="preserve"> ruralnog razvoja.</w:t>
      </w:r>
    </w:p>
    <w:p w14:paraId="086A7768" w14:textId="5F45FDBC" w:rsidR="00D85397" w:rsidRDefault="008B70A8" w:rsidP="00D8539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Najznačajnije povećanje se odnosi na </w:t>
      </w:r>
      <w:r w:rsidR="00D85397">
        <w:rPr>
          <w:rFonts w:asciiTheme="majorHAnsi" w:hAnsiTheme="majorHAnsi" w:cstheme="majorHAnsi"/>
          <w:lang w:val="hr-HR"/>
        </w:rPr>
        <w:t>Komunikacijsk</w:t>
      </w:r>
      <w:r>
        <w:rPr>
          <w:rFonts w:asciiTheme="majorHAnsi" w:hAnsiTheme="majorHAnsi" w:cstheme="majorHAnsi"/>
          <w:lang w:val="hr-HR"/>
        </w:rPr>
        <w:t>u</w:t>
      </w:r>
      <w:r w:rsidR="00D85397">
        <w:rPr>
          <w:rFonts w:asciiTheme="majorHAnsi" w:hAnsiTheme="majorHAnsi" w:cstheme="majorHAnsi"/>
          <w:lang w:val="hr-HR"/>
        </w:rPr>
        <w:t xml:space="preserve"> oprem</w:t>
      </w:r>
      <w:r>
        <w:rPr>
          <w:rFonts w:asciiTheme="majorHAnsi" w:hAnsiTheme="majorHAnsi" w:cstheme="majorHAnsi"/>
          <w:lang w:val="hr-HR"/>
        </w:rPr>
        <w:t>u</w:t>
      </w:r>
      <w:r w:rsidR="00D85397">
        <w:rPr>
          <w:rFonts w:asciiTheme="majorHAnsi" w:hAnsiTheme="majorHAnsi" w:cstheme="majorHAnsi"/>
          <w:lang w:val="hr-HR"/>
        </w:rPr>
        <w:t xml:space="preserve"> (0223) </w:t>
      </w:r>
      <w:r>
        <w:rPr>
          <w:rFonts w:asciiTheme="majorHAnsi" w:hAnsiTheme="majorHAnsi" w:cstheme="majorHAnsi"/>
          <w:lang w:val="hr-HR"/>
        </w:rPr>
        <w:t xml:space="preserve">koja je u odnosu na prethodnu godinu porasla za </w:t>
      </w:r>
      <w:r w:rsidR="00D85397">
        <w:rPr>
          <w:rFonts w:asciiTheme="majorHAnsi" w:hAnsiTheme="majorHAnsi" w:cstheme="majorHAnsi"/>
          <w:lang w:val="hr-HR"/>
        </w:rPr>
        <w:t>81,8 % a odnosi se na nabavu mobi</w:t>
      </w:r>
      <w:r>
        <w:rPr>
          <w:rFonts w:asciiTheme="majorHAnsi" w:hAnsiTheme="majorHAnsi" w:cstheme="majorHAnsi"/>
          <w:lang w:val="hr-HR"/>
        </w:rPr>
        <w:t>lnih uređaja</w:t>
      </w:r>
      <w:r w:rsidR="00D85397">
        <w:rPr>
          <w:rFonts w:asciiTheme="majorHAnsi" w:hAnsiTheme="majorHAnsi" w:cstheme="majorHAnsi"/>
          <w:lang w:val="hr-HR"/>
        </w:rPr>
        <w:t xml:space="preserve"> i klima uređaja </w:t>
      </w:r>
      <w:r>
        <w:rPr>
          <w:rFonts w:asciiTheme="majorHAnsi" w:hAnsiTheme="majorHAnsi" w:cstheme="majorHAnsi"/>
          <w:lang w:val="hr-HR"/>
        </w:rPr>
        <w:t>na aktivnostima</w:t>
      </w:r>
      <w:r w:rsidR="00D85397">
        <w:rPr>
          <w:rFonts w:asciiTheme="majorHAnsi" w:hAnsiTheme="majorHAnsi" w:cstheme="majorHAnsi"/>
          <w:lang w:val="hr-HR"/>
        </w:rPr>
        <w:t xml:space="preserve"> Naknade za upravljanje financijskim instrumentima -ESIF</w:t>
      </w:r>
      <w:r>
        <w:rPr>
          <w:rFonts w:asciiTheme="majorHAnsi" w:hAnsiTheme="majorHAnsi" w:cstheme="majorHAnsi"/>
          <w:lang w:val="hr-HR"/>
        </w:rPr>
        <w:t xml:space="preserve"> i</w:t>
      </w:r>
      <w:r w:rsidR="00D85397">
        <w:rPr>
          <w:rFonts w:asciiTheme="majorHAnsi" w:hAnsiTheme="majorHAnsi" w:cstheme="majorHAnsi"/>
          <w:lang w:val="hr-HR"/>
        </w:rPr>
        <w:t xml:space="preserve"> Mrež</w:t>
      </w:r>
      <w:r>
        <w:rPr>
          <w:rFonts w:asciiTheme="majorHAnsi" w:hAnsiTheme="majorHAnsi" w:cstheme="majorHAnsi"/>
          <w:lang w:val="hr-HR"/>
        </w:rPr>
        <w:t>a</w:t>
      </w:r>
      <w:r w:rsidR="00D85397">
        <w:rPr>
          <w:rFonts w:asciiTheme="majorHAnsi" w:hAnsiTheme="majorHAnsi" w:cstheme="majorHAnsi"/>
          <w:lang w:val="hr-HR"/>
        </w:rPr>
        <w:t xml:space="preserve"> potpornih poduzetničkih institucija -BOND</w:t>
      </w:r>
      <w:r>
        <w:rPr>
          <w:rFonts w:asciiTheme="majorHAnsi" w:hAnsiTheme="majorHAnsi" w:cstheme="majorHAnsi"/>
          <w:lang w:val="hr-HR"/>
        </w:rPr>
        <w:t xml:space="preserve"> koje su </w:t>
      </w:r>
      <w:r w:rsidR="00D85397">
        <w:rPr>
          <w:rFonts w:asciiTheme="majorHAnsi" w:hAnsiTheme="majorHAnsi" w:cstheme="majorHAnsi"/>
          <w:lang w:val="hr-HR"/>
        </w:rPr>
        <w:t>financiran</w:t>
      </w:r>
      <w:r>
        <w:rPr>
          <w:rFonts w:asciiTheme="majorHAnsi" w:hAnsiTheme="majorHAnsi" w:cstheme="majorHAnsi"/>
          <w:lang w:val="hr-HR"/>
        </w:rPr>
        <w:t>e</w:t>
      </w:r>
      <w:r w:rsidR="00D85397">
        <w:rPr>
          <w:rFonts w:asciiTheme="majorHAnsi" w:hAnsiTheme="majorHAnsi" w:cstheme="majorHAnsi"/>
          <w:lang w:val="hr-HR"/>
        </w:rPr>
        <w:t xml:space="preserve"> EU sredstvima.</w:t>
      </w:r>
    </w:p>
    <w:p w14:paraId="59D48FAF" w14:textId="4B7F5F45" w:rsidR="00D85397" w:rsidRDefault="00D85397" w:rsidP="00D85397">
      <w:pPr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>Povećanje  stavke bilance novac u blagajni (11) za 78,9 % odnosi se na povećanje primljenih novčanih sredstava za financijske instrumente za jamstva i zajmove po tranšama</w:t>
      </w:r>
      <w:r w:rsidR="002A3B92">
        <w:rPr>
          <w:rFonts w:asciiTheme="majorHAnsi" w:hAnsiTheme="majorHAnsi" w:cstheme="majorHAnsi"/>
          <w:lang w:val="hr-HR"/>
        </w:rPr>
        <w:t>, te od povrata glavnice i kamata po izdanim zajmovima</w:t>
      </w:r>
      <w:r w:rsidRPr="002D27AB">
        <w:rPr>
          <w:rFonts w:asciiTheme="majorHAnsi" w:hAnsiTheme="majorHAnsi" w:cstheme="majorHAnsi"/>
          <w:lang w:val="hr-HR"/>
        </w:rPr>
        <w:t>.</w:t>
      </w:r>
    </w:p>
    <w:p w14:paraId="4A990DAE" w14:textId="3EB73593" w:rsidR="00D85397" w:rsidRPr="002D27AB" w:rsidRDefault="00D85397" w:rsidP="00D8539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Zajmovi tuzemnim obrtnicima bilježe rast od 12,5 % .</w:t>
      </w:r>
    </w:p>
    <w:p w14:paraId="6CAEB5A2" w14:textId="0AA89B39" w:rsidR="00D85397" w:rsidRDefault="00D85397" w:rsidP="00D85397">
      <w:pPr>
        <w:tabs>
          <w:tab w:val="left" w:pos="3300"/>
        </w:tabs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A27DC">
        <w:rPr>
          <w:rFonts w:asciiTheme="majorHAnsi" w:hAnsiTheme="majorHAnsi" w:cstheme="majorHAnsi"/>
          <w:color w:val="000000" w:themeColor="text1"/>
          <w:lang w:val="hr-HR"/>
        </w:rPr>
        <w:t xml:space="preserve">Stavka dionice </w:t>
      </w:r>
      <w:r w:rsidR="002A3B92"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FA27DC">
        <w:rPr>
          <w:rFonts w:asciiTheme="majorHAnsi" w:hAnsiTheme="majorHAnsi" w:cstheme="majorHAnsi"/>
          <w:color w:val="000000" w:themeColor="text1"/>
          <w:lang w:val="hr-HR"/>
        </w:rPr>
        <w:t xml:space="preserve"> udjeli u glavnici (15) smanjili su se za 18,3 % u odnosu na 2021. godinu</w:t>
      </w:r>
      <w:r w:rsidR="00FA27DC">
        <w:rPr>
          <w:rFonts w:asciiTheme="majorHAnsi" w:hAnsiTheme="majorHAnsi" w:cstheme="majorHAnsi"/>
          <w:color w:val="000000" w:themeColor="text1"/>
          <w:lang w:val="hr-HR"/>
        </w:rPr>
        <w:t xml:space="preserve"> uslijed povrata sredstava od strane Fonda na ime </w:t>
      </w:r>
      <w:r w:rsidR="00FC0F65">
        <w:rPr>
          <w:rFonts w:asciiTheme="majorHAnsi" w:hAnsiTheme="majorHAnsi" w:cstheme="majorHAnsi"/>
          <w:color w:val="000000" w:themeColor="text1"/>
          <w:lang w:val="hr-HR"/>
        </w:rPr>
        <w:t xml:space="preserve">dijela </w:t>
      </w:r>
      <w:r w:rsidR="00FA27DC">
        <w:rPr>
          <w:rFonts w:asciiTheme="majorHAnsi" w:hAnsiTheme="majorHAnsi" w:cstheme="majorHAnsi"/>
          <w:color w:val="000000" w:themeColor="text1"/>
          <w:lang w:val="hr-HR"/>
        </w:rPr>
        <w:t>prodanih vlasničkih udjela u startupovima koji su se potvrdili na tržištu</w:t>
      </w:r>
      <w:r w:rsidR="001012F9">
        <w:rPr>
          <w:rFonts w:asciiTheme="majorHAnsi" w:hAnsiTheme="majorHAnsi" w:cstheme="majorHAnsi"/>
          <w:color w:val="000000" w:themeColor="text1"/>
          <w:lang w:val="hr-HR"/>
        </w:rPr>
        <w:t xml:space="preserve"> a koje je Fond vratio u Državni proračun sukladno ugovorima</w:t>
      </w:r>
      <w:r w:rsidR="00FA27DC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57AF780" w14:textId="63B0D468" w:rsidR="00D85397" w:rsidRDefault="00D85397" w:rsidP="00D85397">
      <w:pPr>
        <w:tabs>
          <w:tab w:val="left" w:pos="3300"/>
        </w:tabs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Potraživanja za pomoći iz inozemstva (163) su porasla za 51,6%, a odnose se na pomoći iz Švicarskog instrumenta i ostale pomoći iz EU iz programa Eurostars, BRESE, B-BLUE i B-LIGHT. </w:t>
      </w:r>
    </w:p>
    <w:p w14:paraId="59758F7D" w14:textId="452D90D3" w:rsidR="00D85397" w:rsidRPr="002D27AB" w:rsidRDefault="00D85397" w:rsidP="00D85397">
      <w:pPr>
        <w:tabs>
          <w:tab w:val="left" w:pos="3300"/>
        </w:tabs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Potraživanja za prihode od imovine (164) su porasla za 16%, a odnose se najvećim dijelom na </w:t>
      </w:r>
      <w:r w:rsidR="00FC0F65">
        <w:rPr>
          <w:rFonts w:asciiTheme="majorHAnsi" w:hAnsiTheme="majorHAnsi" w:cstheme="majorHAnsi"/>
          <w:color w:val="000000" w:themeColor="text1"/>
          <w:lang w:val="hr-HR"/>
        </w:rPr>
        <w:t xml:space="preserve">potraživanja po osnovi </w:t>
      </w:r>
      <w:r>
        <w:rPr>
          <w:rFonts w:asciiTheme="majorHAnsi" w:hAnsiTheme="majorHAnsi" w:cstheme="majorHAnsi"/>
          <w:color w:val="000000" w:themeColor="text1"/>
          <w:lang w:val="hr-HR"/>
        </w:rPr>
        <w:t>kamate</w:t>
      </w:r>
      <w:r w:rsidR="00FC0F65">
        <w:rPr>
          <w:rFonts w:asciiTheme="majorHAnsi" w:hAnsiTheme="majorHAnsi" w:cstheme="majorHAnsi"/>
          <w:color w:val="000000" w:themeColor="text1"/>
          <w:lang w:val="hr-HR"/>
        </w:rPr>
        <w:t xml:space="preserve"> od plasiranih zajmova i protestiranih jamstava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</w:p>
    <w:p w14:paraId="644A0B5B" w14:textId="77777777" w:rsidR="00D85397" w:rsidRPr="00684F0A" w:rsidRDefault="00D85397" w:rsidP="0033665E">
      <w:pPr>
        <w:jc w:val="both"/>
        <w:rPr>
          <w:color w:val="000000" w:themeColor="text1"/>
          <w:lang w:val="pt-BR"/>
        </w:rPr>
      </w:pPr>
    </w:p>
    <w:p w14:paraId="739F2CFF" w14:textId="77777777" w:rsidR="00B50204" w:rsidRDefault="00D85397" w:rsidP="00D8539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Ukupne obveze (2) su porasle za 21,9</w:t>
      </w:r>
      <w:r w:rsidR="00B50204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%, a </w:t>
      </w:r>
      <w:r w:rsidR="00B50204">
        <w:rPr>
          <w:rFonts w:asciiTheme="majorHAnsi" w:hAnsiTheme="majorHAnsi" w:cstheme="majorHAnsi"/>
          <w:color w:val="000000" w:themeColor="text1"/>
          <w:lang w:val="hr-HR"/>
        </w:rPr>
        <w:t xml:space="preserve">čine ih </w:t>
      </w:r>
      <w:r>
        <w:rPr>
          <w:rFonts w:asciiTheme="majorHAnsi" w:hAnsiTheme="majorHAnsi" w:cstheme="majorHAnsi"/>
          <w:color w:val="000000" w:themeColor="text1"/>
          <w:lang w:val="hr-HR"/>
        </w:rPr>
        <w:t>obveze za zaposlene (231) s porastom od 21,5</w:t>
      </w:r>
      <w:r w:rsidR="00B50204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hr-HR"/>
        </w:rPr>
        <w:t>%</w:t>
      </w:r>
      <w:r w:rsidR="00B50204">
        <w:rPr>
          <w:rFonts w:asciiTheme="majorHAnsi" w:hAnsiTheme="majorHAnsi" w:cstheme="majorHAnsi"/>
          <w:color w:val="000000" w:themeColor="text1"/>
          <w:lang w:val="hr-HR"/>
        </w:rPr>
        <w:t xml:space="preserve"> i obveze za materijalne rashode (232) s ukupnim porastom od 49,8 %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</w:p>
    <w:p w14:paraId="74C6809D" w14:textId="7384CA4E" w:rsidR="00D85397" w:rsidRPr="002D27AB" w:rsidRDefault="00D85397" w:rsidP="00D8539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Ostale tekuće obveze (239) </w:t>
      </w:r>
      <w:r w:rsidR="00231172">
        <w:rPr>
          <w:rFonts w:asciiTheme="majorHAnsi" w:hAnsiTheme="majorHAnsi" w:cstheme="majorHAnsi"/>
          <w:color w:val="000000" w:themeColor="text1"/>
          <w:lang w:val="hr-HR"/>
        </w:rPr>
        <w:t xml:space="preserve">su smanjene u odnosu na prethodnu godinu za </w:t>
      </w:r>
      <w:r>
        <w:rPr>
          <w:rFonts w:asciiTheme="majorHAnsi" w:hAnsiTheme="majorHAnsi" w:cstheme="majorHAnsi"/>
          <w:color w:val="000000" w:themeColor="text1"/>
          <w:lang w:val="hr-HR"/>
        </w:rPr>
        <w:t>45</w:t>
      </w:r>
      <w:r w:rsidR="00231172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% </w:t>
      </w:r>
      <w:r w:rsidR="00231172">
        <w:rPr>
          <w:rFonts w:asciiTheme="majorHAnsi" w:hAnsiTheme="majorHAnsi" w:cstheme="majorHAnsi"/>
          <w:color w:val="000000" w:themeColor="text1"/>
          <w:lang w:val="hr-HR"/>
        </w:rPr>
        <w:t xml:space="preserve">uslijed smanjenja prihoda od EU za Financijske instrumente za razdoblje 2014. -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2020. </w:t>
      </w:r>
      <w:r w:rsidR="00231172">
        <w:rPr>
          <w:rFonts w:asciiTheme="majorHAnsi" w:hAnsiTheme="majorHAnsi" w:cstheme="majorHAnsi"/>
          <w:color w:val="000000" w:themeColor="text1"/>
          <w:lang w:val="hr-HR"/>
        </w:rPr>
        <w:t>i uslijed promjene knjiženja za izvor 51 koji se odmah po uplati evidentira kao prihod.</w:t>
      </w:r>
    </w:p>
    <w:p w14:paraId="5F5443BB" w14:textId="77777777" w:rsidR="00546947" w:rsidRDefault="00546947" w:rsidP="00D85397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</w:p>
    <w:p w14:paraId="2A122BD1" w14:textId="3E137847" w:rsidR="00857EF5" w:rsidRPr="002D27AB" w:rsidRDefault="00D85397" w:rsidP="00857EF5">
      <w:pPr>
        <w:jc w:val="both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  <w:r w:rsidRPr="00416348">
        <w:rPr>
          <w:rFonts w:asciiTheme="majorHAnsi" w:hAnsiTheme="majorHAnsi" w:cstheme="majorHAnsi"/>
          <w:lang w:val="hr-HR"/>
        </w:rPr>
        <w:t>Do povećanja nedospjelih obveza</w:t>
      </w:r>
      <w:r>
        <w:rPr>
          <w:rFonts w:asciiTheme="majorHAnsi" w:hAnsiTheme="majorHAnsi" w:cstheme="majorHAnsi"/>
          <w:lang w:val="hr-HR"/>
        </w:rPr>
        <w:t xml:space="preserve"> (2614)</w:t>
      </w:r>
      <w:r w:rsidRPr="00416348">
        <w:rPr>
          <w:rFonts w:asciiTheme="majorHAnsi" w:hAnsiTheme="majorHAnsi" w:cstheme="majorHAnsi"/>
          <w:lang w:val="hr-HR"/>
        </w:rPr>
        <w:t xml:space="preserve"> na kraju izvještajnog razdoblja najvećim dijelom došlo je zbog obveze za financijsku imovinu  koje iznose 3.168.311.420,60 kn</w:t>
      </w:r>
      <w:r>
        <w:rPr>
          <w:rFonts w:asciiTheme="majorHAnsi" w:hAnsiTheme="majorHAnsi" w:cstheme="majorHAnsi"/>
          <w:lang w:val="hr-HR"/>
        </w:rPr>
        <w:t xml:space="preserve"> </w:t>
      </w:r>
      <w:r w:rsidR="00B8098A">
        <w:rPr>
          <w:rFonts w:asciiTheme="majorHAnsi" w:hAnsiTheme="majorHAnsi" w:cstheme="majorHAnsi"/>
          <w:lang w:val="hr-HR"/>
        </w:rPr>
        <w:t xml:space="preserve">temeljem </w:t>
      </w:r>
      <w:r w:rsidRPr="00416348">
        <w:rPr>
          <w:rFonts w:asciiTheme="majorHAnsi" w:hAnsiTheme="majorHAnsi" w:cstheme="majorHAnsi"/>
          <w:lang w:val="hr-HR"/>
        </w:rPr>
        <w:t>uput</w:t>
      </w:r>
      <w:r w:rsidR="00B8098A">
        <w:rPr>
          <w:rFonts w:asciiTheme="majorHAnsi" w:hAnsiTheme="majorHAnsi" w:cstheme="majorHAnsi"/>
          <w:lang w:val="hr-HR"/>
        </w:rPr>
        <w:t>e</w:t>
      </w:r>
      <w:r w:rsidRPr="00416348">
        <w:rPr>
          <w:rFonts w:asciiTheme="majorHAnsi" w:hAnsiTheme="majorHAnsi" w:cstheme="majorHAnsi"/>
          <w:lang w:val="hr-HR"/>
        </w:rPr>
        <w:t xml:space="preserve"> Ministarstva financija od 29. prosinca 2022. </w:t>
      </w:r>
      <w:r w:rsidR="00231172">
        <w:rPr>
          <w:rFonts w:asciiTheme="majorHAnsi" w:hAnsiTheme="majorHAnsi" w:cstheme="majorHAnsi"/>
          <w:lang w:val="hr-HR"/>
        </w:rPr>
        <w:t>„K</w:t>
      </w:r>
      <w:r w:rsidRPr="00416348">
        <w:rPr>
          <w:rFonts w:asciiTheme="majorHAnsi" w:hAnsiTheme="majorHAnsi" w:cstheme="majorHAnsi"/>
          <w:lang w:val="hr-HR"/>
        </w:rPr>
        <w:t>njigovodstvene evidencije provedbe EU financijskih instrumenata za razdoblje do 31. prosinca 2019.</w:t>
      </w:r>
      <w:r w:rsidR="00231172">
        <w:rPr>
          <w:rFonts w:asciiTheme="majorHAnsi" w:hAnsiTheme="majorHAnsi" w:cstheme="majorHAnsi"/>
          <w:lang w:val="hr-HR"/>
        </w:rPr>
        <w:t xml:space="preserve"> </w:t>
      </w:r>
      <w:r w:rsidRPr="00416348">
        <w:rPr>
          <w:rFonts w:asciiTheme="majorHAnsi" w:hAnsiTheme="majorHAnsi" w:cstheme="majorHAnsi"/>
          <w:lang w:val="hr-HR"/>
        </w:rPr>
        <w:t>godine</w:t>
      </w:r>
      <w:r w:rsidR="00231172">
        <w:rPr>
          <w:rFonts w:asciiTheme="majorHAnsi" w:hAnsiTheme="majorHAnsi" w:cstheme="majorHAnsi"/>
          <w:lang w:val="hr-HR"/>
        </w:rPr>
        <w:t>“</w:t>
      </w:r>
      <w:r w:rsidRPr="00416348">
        <w:rPr>
          <w:rFonts w:asciiTheme="majorHAnsi" w:hAnsiTheme="majorHAnsi" w:cstheme="majorHAnsi"/>
          <w:lang w:val="hr-HR"/>
        </w:rPr>
        <w:t xml:space="preserve"> evidentirali smo na kontu 26142 Obveze za kredite </w:t>
      </w:r>
      <w:r w:rsidR="00B8098A">
        <w:rPr>
          <w:rFonts w:asciiTheme="majorHAnsi" w:hAnsiTheme="majorHAnsi" w:cstheme="majorHAnsi"/>
          <w:lang w:val="hr-HR"/>
        </w:rPr>
        <w:t>i</w:t>
      </w:r>
      <w:r w:rsidRPr="00416348">
        <w:rPr>
          <w:rFonts w:asciiTheme="majorHAnsi" w:hAnsiTheme="majorHAnsi" w:cstheme="majorHAnsi"/>
          <w:lang w:val="hr-HR"/>
        </w:rPr>
        <w:t xml:space="preserve"> zajmove od institucija </w:t>
      </w:r>
      <w:r w:rsidR="00231172">
        <w:rPr>
          <w:rFonts w:asciiTheme="majorHAnsi" w:hAnsiTheme="majorHAnsi" w:cstheme="majorHAnsi"/>
          <w:lang w:val="hr-HR"/>
        </w:rPr>
        <w:t>i</w:t>
      </w:r>
      <w:r w:rsidRPr="00416348">
        <w:rPr>
          <w:rFonts w:asciiTheme="majorHAnsi" w:hAnsiTheme="majorHAnsi" w:cstheme="majorHAnsi"/>
          <w:lang w:val="hr-HR"/>
        </w:rPr>
        <w:t xml:space="preserve"> tijela EU – dugoročne</w:t>
      </w:r>
      <w:r w:rsidR="00857EF5">
        <w:rPr>
          <w:rFonts w:asciiTheme="majorHAnsi" w:hAnsiTheme="majorHAnsi" w:cstheme="majorHAnsi"/>
          <w:lang w:val="hr-HR"/>
        </w:rPr>
        <w:t xml:space="preserve"> </w:t>
      </w:r>
      <w:r w:rsidR="00857EF5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s ptotustavkom 911 Vlastiti izvori od 2016. god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i</w:t>
      </w:r>
      <w:r w:rsidR="00857EF5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ne od 31.12.2019. godine za sve plasirane zajmove. </w:t>
      </w:r>
    </w:p>
    <w:p w14:paraId="1627C440" w14:textId="77777777" w:rsidR="00857EF5" w:rsidRPr="002D27AB" w:rsidRDefault="00857EF5" w:rsidP="00857EF5">
      <w:pPr>
        <w:jc w:val="both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2600B3D8" w14:textId="78846324" w:rsidR="0033665E" w:rsidRPr="003F5EED" w:rsidRDefault="0033665E" w:rsidP="003F5EED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  <w:r w:rsidRPr="003F5EED">
        <w:rPr>
          <w:rFonts w:asciiTheme="majorHAnsi" w:hAnsiTheme="majorHAnsi" w:cstheme="majorHAnsi"/>
          <w:lang w:val="hr-HR"/>
        </w:rPr>
        <w:t xml:space="preserve">Izvanbilančni zapisi  sadrže izdana neprotestirana jamstva, uvjetne zajmove projekata financiranim kroz Program RAZUM i primljene zadužnice po izdanim jamstvima i kreditima. </w:t>
      </w:r>
    </w:p>
    <w:p w14:paraId="019D6C4E" w14:textId="42399811" w:rsidR="00BF4B0E" w:rsidRPr="003F5EED" w:rsidRDefault="0033665E" w:rsidP="003F5EED">
      <w:pPr>
        <w:autoSpaceDE w:val="0"/>
        <w:autoSpaceDN w:val="0"/>
        <w:jc w:val="both"/>
        <w:rPr>
          <w:rFonts w:asciiTheme="majorHAnsi" w:hAnsiTheme="majorHAnsi" w:cstheme="majorHAnsi"/>
          <w:lang w:val="hr-HR"/>
        </w:rPr>
      </w:pPr>
      <w:r w:rsidRPr="003F5EED">
        <w:rPr>
          <w:rFonts w:asciiTheme="majorHAnsi" w:hAnsiTheme="majorHAnsi" w:cstheme="majorHAnsi"/>
          <w:lang w:val="hr-HR"/>
        </w:rPr>
        <w:t xml:space="preserve">U izvanbilančnim zapisima evidentirane su i potencijalne obveze temeljem sudskih sporova u ukupnom iznosu od </w:t>
      </w:r>
      <w:r w:rsidR="00532BD2" w:rsidRPr="003F5EED">
        <w:rPr>
          <w:rFonts w:asciiTheme="majorHAnsi" w:hAnsiTheme="majorHAnsi" w:cstheme="majorHAnsi"/>
          <w:lang w:val="hr-HR"/>
        </w:rPr>
        <w:t xml:space="preserve">8.167.942,19 </w:t>
      </w:r>
      <w:r w:rsidRPr="003F5EED">
        <w:rPr>
          <w:rFonts w:asciiTheme="majorHAnsi" w:hAnsiTheme="majorHAnsi" w:cstheme="majorHAnsi"/>
          <w:lang w:val="hr-HR"/>
        </w:rPr>
        <w:t xml:space="preserve">kn, a odnose se na </w:t>
      </w:r>
      <w:r w:rsidR="00133929" w:rsidRPr="003F5EED">
        <w:rPr>
          <w:rFonts w:asciiTheme="majorHAnsi" w:hAnsiTheme="majorHAnsi" w:cstheme="majorHAnsi"/>
          <w:lang w:val="hr-HR"/>
        </w:rPr>
        <w:t>če</w:t>
      </w:r>
      <w:r w:rsidR="00532BD2" w:rsidRPr="003F5EED">
        <w:rPr>
          <w:rFonts w:asciiTheme="majorHAnsi" w:hAnsiTheme="majorHAnsi" w:cstheme="majorHAnsi"/>
          <w:lang w:val="hr-HR"/>
        </w:rPr>
        <w:t>t</w:t>
      </w:r>
      <w:r w:rsidR="00133929" w:rsidRPr="003F5EED">
        <w:rPr>
          <w:rFonts w:asciiTheme="majorHAnsi" w:hAnsiTheme="majorHAnsi" w:cstheme="majorHAnsi"/>
          <w:lang w:val="hr-HR"/>
        </w:rPr>
        <w:t>i</w:t>
      </w:r>
      <w:r w:rsidR="00532BD2" w:rsidRPr="003F5EED">
        <w:rPr>
          <w:rFonts w:asciiTheme="majorHAnsi" w:hAnsiTheme="majorHAnsi" w:cstheme="majorHAnsi"/>
          <w:lang w:val="hr-HR"/>
        </w:rPr>
        <w:t>ri spora iz područja trgovačkog prava</w:t>
      </w:r>
      <w:r w:rsidRPr="003F5EED">
        <w:rPr>
          <w:rFonts w:asciiTheme="majorHAnsi" w:hAnsiTheme="majorHAnsi" w:cstheme="majorHAnsi"/>
          <w:lang w:val="hr-HR"/>
        </w:rPr>
        <w:t>.</w:t>
      </w:r>
    </w:p>
    <w:p w14:paraId="1B14470D" w14:textId="77777777" w:rsidR="00BF3C8C" w:rsidRPr="00FD19BB" w:rsidRDefault="00BF3C8C" w:rsidP="00CD5ABC">
      <w:pPr>
        <w:pStyle w:val="ListParagraph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</w:rPr>
      </w:pPr>
    </w:p>
    <w:p w14:paraId="16A6432E" w14:textId="77777777" w:rsidR="00CC3897" w:rsidRPr="00FD19BB" w:rsidRDefault="00CC3897" w:rsidP="00CC3897">
      <w:pPr>
        <w:spacing w:after="160" w:line="259" w:lineRule="auto"/>
        <w:rPr>
          <w:rFonts w:asciiTheme="majorHAnsi" w:hAnsiTheme="majorHAnsi" w:cstheme="majorHAnsi"/>
          <w:b/>
          <w:bCs/>
          <w:color w:val="000000" w:themeColor="text1"/>
          <w:u w:val="single"/>
          <w:lang w:val="hr-HR"/>
        </w:rPr>
      </w:pPr>
      <w:r w:rsidRPr="00FD19BB">
        <w:rPr>
          <w:rFonts w:asciiTheme="majorHAnsi" w:hAnsiTheme="majorHAnsi" w:cstheme="majorHAnsi"/>
          <w:b/>
          <w:bCs/>
          <w:color w:val="000000" w:themeColor="text1"/>
          <w:u w:val="single"/>
          <w:lang w:val="hr-HR"/>
        </w:rPr>
        <w:t xml:space="preserve">Bilješke  uz PVRIO </w:t>
      </w:r>
    </w:p>
    <w:p w14:paraId="458FEA80" w14:textId="4BAD5F01" w:rsidR="007C2469" w:rsidRPr="00FD19BB" w:rsidRDefault="007C2469" w:rsidP="007C2469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Tijekom 2022.  smanjio se obujam imovine </w:t>
      </w:r>
      <w:r w:rsidR="00AC5624">
        <w:rPr>
          <w:rFonts w:asciiTheme="majorHAnsi" w:hAnsiTheme="majorHAnsi" w:cstheme="majorHAnsi"/>
          <w:color w:val="000000" w:themeColor="text1"/>
          <w:lang w:val="hr-HR"/>
        </w:rPr>
        <w:t xml:space="preserve">kako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sl</w:t>
      </w:r>
      <w:r w:rsidR="00AC5624"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jed</w:t>
      </w:r>
      <w:r w:rsidR="00AC5624"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:</w:t>
      </w:r>
    </w:p>
    <w:p w14:paraId="3D240A1D" w14:textId="1636F0A9" w:rsidR="007C2469" w:rsidRPr="00FD19BB" w:rsidRDefault="007C2469" w:rsidP="007C2469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D19BB">
        <w:rPr>
          <w:rFonts w:asciiTheme="majorHAnsi" w:hAnsiTheme="majorHAnsi" w:cstheme="majorHAnsi"/>
          <w:color w:val="000000" w:themeColor="text1"/>
          <w:lang w:val="hr-HR"/>
        </w:rPr>
        <w:t>P003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 xml:space="preserve"> Proizvedena dugotrajna imovina smanjena je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u iznosu od 6.985,33 kn </w:t>
      </w:r>
      <w:r w:rsidR="00283129">
        <w:rPr>
          <w:rFonts w:asciiTheme="majorHAnsi" w:hAnsiTheme="majorHAnsi" w:cstheme="majorHAnsi"/>
          <w:color w:val="000000" w:themeColor="text1"/>
          <w:lang w:val="hr-HR"/>
        </w:rPr>
        <w:t xml:space="preserve">a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odnosi </w:t>
      </w:r>
      <w:r w:rsidR="00283129">
        <w:rPr>
          <w:rFonts w:asciiTheme="majorHAnsi" w:hAnsiTheme="majorHAnsi" w:cstheme="majorHAnsi"/>
          <w:color w:val="000000" w:themeColor="text1"/>
          <w:lang w:val="hr-HR"/>
        </w:rPr>
        <w:t xml:space="preserve">se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na  rashodovanu dugotrajnu imovinu koja više nije u upotrebi. </w:t>
      </w:r>
    </w:p>
    <w:p w14:paraId="2AA4DDAB" w14:textId="02F8FCC2" w:rsidR="007C2469" w:rsidRPr="00FD19BB" w:rsidRDefault="007C2469" w:rsidP="007C2469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D19BB">
        <w:rPr>
          <w:rFonts w:asciiTheme="majorHAnsi" w:hAnsiTheme="majorHAnsi" w:cstheme="majorHAnsi"/>
          <w:color w:val="000000" w:themeColor="text1"/>
          <w:lang w:val="hr-HR"/>
        </w:rPr>
        <w:t>P026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 xml:space="preserve"> potraživanja za dane zajmove smanjena su</w:t>
      </w:r>
      <w:r w:rsidR="00283129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u iznosu od 1.824.651,79 kn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  <w:r w:rsidR="00A57597" w:rsidRPr="00FD19BB">
        <w:rPr>
          <w:rFonts w:asciiTheme="majorHAnsi" w:hAnsiTheme="majorHAnsi" w:cstheme="majorHAnsi"/>
          <w:color w:val="000000" w:themeColor="text1"/>
          <w:lang w:val="hr-HR"/>
        </w:rPr>
        <w:t xml:space="preserve">Do smanjenja potraživanja došlo je zbog provođenja odluke suda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temeljem predstečajne nagodbe </w:t>
      </w:r>
      <w:r w:rsidR="00A57597" w:rsidRPr="00FD19BB">
        <w:rPr>
          <w:rFonts w:asciiTheme="majorHAnsi" w:hAnsiTheme="majorHAnsi" w:cstheme="majorHAnsi"/>
          <w:color w:val="000000" w:themeColor="text1"/>
          <w:lang w:val="hr-HR"/>
        </w:rPr>
        <w:t xml:space="preserve"> prema kojoj se potraživanje smanjuje 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>u</w:t>
      </w:r>
      <w:r w:rsidR="00A57597" w:rsidRPr="00FD19BB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iznos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>u</w:t>
      </w:r>
      <w:r w:rsidR="00A57597" w:rsidRPr="00FD19BB">
        <w:rPr>
          <w:rFonts w:asciiTheme="majorHAnsi" w:hAnsiTheme="majorHAnsi" w:cstheme="majorHAnsi"/>
          <w:color w:val="000000" w:themeColor="text1"/>
          <w:lang w:val="hr-HR"/>
        </w:rPr>
        <w:t xml:space="preserve"> od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372.007,70 k</w:t>
      </w:r>
      <w:r w:rsidR="00A57597" w:rsidRPr="00FD19BB">
        <w:rPr>
          <w:rFonts w:asciiTheme="majorHAnsi" w:hAnsiTheme="majorHAnsi" w:cstheme="majorHAnsi"/>
          <w:color w:val="000000" w:themeColor="text1"/>
          <w:lang w:val="hr-HR"/>
        </w:rPr>
        <w:t xml:space="preserve">n.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A57597" w:rsidRPr="00FD19BB">
        <w:rPr>
          <w:rFonts w:asciiTheme="majorHAnsi" w:hAnsiTheme="majorHAnsi" w:cstheme="majorHAnsi"/>
          <w:color w:val="000000" w:themeColor="text1"/>
          <w:lang w:val="hr-HR"/>
        </w:rPr>
        <w:t xml:space="preserve">Preostali dio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A57597" w:rsidRPr="00FD19BB">
        <w:rPr>
          <w:rFonts w:asciiTheme="majorHAnsi" w:hAnsiTheme="majorHAnsi" w:cstheme="majorHAnsi"/>
          <w:color w:val="000000" w:themeColor="text1"/>
          <w:lang w:val="hr-HR"/>
        </w:rPr>
        <w:t xml:space="preserve">u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iznosu od 1.452.644,09  kuna odnosi se na otpis potraživanja </w:t>
      </w:r>
      <w:r w:rsidR="00283129">
        <w:rPr>
          <w:rFonts w:asciiTheme="majorHAnsi" w:hAnsiTheme="majorHAnsi" w:cstheme="majorHAnsi"/>
          <w:color w:val="000000" w:themeColor="text1"/>
          <w:lang w:val="hr-HR"/>
        </w:rPr>
        <w:t xml:space="preserve">subjekata brisaih u registrima trgovačkih sudova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temeljem odluke Upravnog odbora Hamag </w:t>
      </w:r>
      <w:r w:rsidR="00FD19BB">
        <w:rPr>
          <w:rFonts w:asciiTheme="majorHAnsi" w:hAnsiTheme="majorHAnsi" w:cstheme="majorHAnsi"/>
          <w:color w:val="000000" w:themeColor="text1"/>
          <w:lang w:val="hr-HR"/>
        </w:rPr>
        <w:t>Bicr</w:t>
      </w:r>
      <w:r w:rsidR="00283129">
        <w:rPr>
          <w:rFonts w:asciiTheme="majorHAnsi" w:hAnsiTheme="majorHAnsi" w:cstheme="majorHAnsi"/>
          <w:color w:val="000000" w:themeColor="text1"/>
          <w:lang w:val="hr-HR"/>
        </w:rPr>
        <w:t>o-</w:t>
      </w:r>
      <w:r w:rsidR="00FD19BB">
        <w:rPr>
          <w:rFonts w:asciiTheme="majorHAnsi" w:hAnsiTheme="majorHAnsi" w:cstheme="majorHAnsi"/>
          <w:color w:val="000000" w:themeColor="text1"/>
          <w:lang w:val="hr-HR"/>
        </w:rPr>
        <w:t>a</w:t>
      </w:r>
      <w:r w:rsidR="00E47FD0">
        <w:rPr>
          <w:rFonts w:asciiTheme="majorHAnsi" w:hAnsiTheme="majorHAnsi" w:cstheme="majorHAnsi"/>
          <w:color w:val="000000" w:themeColor="text1"/>
          <w:lang w:val="hr-HR"/>
        </w:rPr>
        <w:t xml:space="preserve"> zbog nemogućnosti naplate</w:t>
      </w:r>
      <w:r w:rsidR="00FD19BB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11D8A883" w14:textId="0704C520" w:rsidR="007C2469" w:rsidRPr="00FD19BB" w:rsidRDefault="007C2469" w:rsidP="007C2469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D19BB">
        <w:rPr>
          <w:rFonts w:asciiTheme="majorHAnsi" w:hAnsiTheme="majorHAnsi" w:cstheme="majorHAnsi"/>
          <w:color w:val="000000" w:themeColor="text1"/>
          <w:lang w:val="hr-HR"/>
        </w:rPr>
        <w:t>P029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 xml:space="preserve"> Potraživanja za prihode poslovanja smanjena su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 u iznosu od 103.291,27 kn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E47FD0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 xml:space="preserve">Do smanjenja prihoda došlo je zbog otpisa </w:t>
      </w:r>
      <w:r w:rsidR="00E47FD0">
        <w:rPr>
          <w:rFonts w:asciiTheme="majorHAnsi" w:hAnsiTheme="majorHAnsi" w:cstheme="majorHAnsi"/>
          <w:color w:val="000000" w:themeColor="text1"/>
          <w:lang w:val="hr-HR"/>
        </w:rPr>
        <w:t xml:space="preserve">potraživanja za kamate subjektima brisanim iz registra trgovačkih sudova a 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 xml:space="preserve">temeljem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Odluk</w:t>
      </w:r>
      <w:r w:rsidR="00FD19BB" w:rsidRPr="00FD19BB">
        <w:rPr>
          <w:rFonts w:asciiTheme="majorHAnsi" w:hAnsiTheme="majorHAnsi" w:cstheme="majorHAnsi"/>
          <w:color w:val="000000" w:themeColor="text1"/>
          <w:lang w:val="hr-HR"/>
        </w:rPr>
        <w:t>e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 Upravnog odbora Hamag</w:t>
      </w:r>
      <w:r w:rsidR="00FD19BB">
        <w:rPr>
          <w:rFonts w:asciiTheme="majorHAnsi" w:hAnsiTheme="majorHAnsi" w:cstheme="majorHAnsi"/>
          <w:color w:val="000000" w:themeColor="text1"/>
          <w:lang w:val="hr-HR"/>
        </w:rPr>
        <w:t xml:space="preserve"> Bicro-a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 zbog nemogućnosti naplate.</w:t>
      </w:r>
    </w:p>
    <w:p w14:paraId="12DC8327" w14:textId="77777777" w:rsidR="00022C24" w:rsidRPr="002D27AB" w:rsidRDefault="00022C24" w:rsidP="00501DCF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30A027BD" w14:textId="3B49BF4C" w:rsidR="00501DCF" w:rsidRPr="003D6E19" w:rsidRDefault="00501DCF" w:rsidP="00501DCF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noProof/>
          <w:sz w:val="22"/>
          <w:szCs w:val="22"/>
          <w:u w:val="single"/>
        </w:rPr>
      </w:pPr>
      <w:r w:rsidRPr="003D6E19">
        <w:rPr>
          <w:rFonts w:asciiTheme="majorHAnsi" w:hAnsiTheme="majorHAnsi" w:cstheme="majorHAnsi"/>
          <w:b/>
          <w:noProof/>
          <w:sz w:val="22"/>
          <w:szCs w:val="22"/>
          <w:u w:val="single"/>
        </w:rPr>
        <w:t xml:space="preserve">Bilješke uz </w:t>
      </w:r>
      <w:r w:rsidR="00C635B2" w:rsidRPr="003D6E19">
        <w:rPr>
          <w:rFonts w:asciiTheme="majorHAnsi" w:hAnsiTheme="majorHAnsi" w:cstheme="majorHAnsi"/>
          <w:b/>
          <w:noProof/>
          <w:sz w:val="22"/>
          <w:szCs w:val="22"/>
          <w:u w:val="single"/>
        </w:rPr>
        <w:t>Izvještaj o obvezama</w:t>
      </w:r>
    </w:p>
    <w:p w14:paraId="3542F17F" w14:textId="77777777" w:rsidR="00DD5B23" w:rsidRDefault="00DD5B23" w:rsidP="00501DCF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noProof/>
          <w:sz w:val="22"/>
          <w:szCs w:val="22"/>
        </w:rPr>
      </w:pPr>
    </w:p>
    <w:p w14:paraId="06FACAF6" w14:textId="25B1E8F6" w:rsidR="00B67DB8" w:rsidRPr="003D6E19" w:rsidRDefault="00B67DB8" w:rsidP="00501DCF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noProof/>
          <w:sz w:val="22"/>
          <w:szCs w:val="22"/>
        </w:rPr>
      </w:pPr>
      <w:r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Ukupne obveze u izvještajnom razdoblju </w:t>
      </w:r>
      <w:r w:rsidR="004D47A7" w:rsidRPr="003D6E19">
        <w:rPr>
          <w:rFonts w:asciiTheme="majorHAnsi" w:hAnsiTheme="majorHAnsi" w:cstheme="majorHAnsi"/>
          <w:bCs/>
          <w:noProof/>
          <w:sz w:val="22"/>
          <w:szCs w:val="22"/>
        </w:rPr>
        <w:t>V001</w:t>
      </w:r>
      <w:r w:rsidR="00CE7F78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4D47A7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i V002 </w:t>
      </w:r>
      <w:r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iznose </w:t>
      </w:r>
      <w:r w:rsidR="004D47A7" w:rsidRPr="003D6E19">
        <w:rPr>
          <w:rFonts w:asciiTheme="majorHAnsi" w:hAnsiTheme="majorHAnsi" w:cstheme="majorHAnsi"/>
          <w:bCs/>
          <w:noProof/>
          <w:sz w:val="22"/>
          <w:szCs w:val="22"/>
        </w:rPr>
        <w:t>3.963.465.97</w:t>
      </w:r>
      <w:r w:rsidR="00FD19BB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3,81 </w:t>
      </w:r>
      <w:r w:rsidRPr="003D6E19">
        <w:rPr>
          <w:rFonts w:asciiTheme="majorHAnsi" w:hAnsiTheme="majorHAnsi" w:cstheme="majorHAnsi"/>
          <w:bCs/>
          <w:noProof/>
          <w:sz w:val="22"/>
          <w:szCs w:val="22"/>
        </w:rPr>
        <w:t>kn, od čega je u i</w:t>
      </w:r>
      <w:r w:rsidR="0078446E">
        <w:rPr>
          <w:rFonts w:asciiTheme="majorHAnsi" w:hAnsiTheme="majorHAnsi" w:cstheme="majorHAnsi"/>
          <w:bCs/>
          <w:noProof/>
          <w:sz w:val="22"/>
          <w:szCs w:val="22"/>
        </w:rPr>
        <w:t>stom</w:t>
      </w:r>
      <w:r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 razdoblju ukupno podmireno</w:t>
      </w:r>
      <w:r w:rsidR="004D47A7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 V004</w:t>
      </w:r>
      <w:r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4D47A7" w:rsidRPr="003D6E19">
        <w:rPr>
          <w:rFonts w:asciiTheme="majorHAnsi" w:hAnsiTheme="majorHAnsi" w:cstheme="majorHAnsi"/>
          <w:bCs/>
          <w:noProof/>
          <w:sz w:val="22"/>
          <w:szCs w:val="22"/>
        </w:rPr>
        <w:t>603.047.871,30 kn</w:t>
      </w:r>
      <w:r w:rsidRPr="003D6E19">
        <w:rPr>
          <w:rFonts w:asciiTheme="majorHAnsi" w:hAnsiTheme="majorHAnsi" w:cstheme="majorHAnsi"/>
          <w:bCs/>
          <w:noProof/>
          <w:sz w:val="22"/>
          <w:szCs w:val="22"/>
        </w:rPr>
        <w:t>.</w:t>
      </w:r>
    </w:p>
    <w:p w14:paraId="778C3602" w14:textId="3451F232" w:rsidR="00BF3C8C" w:rsidRPr="003D6E19" w:rsidRDefault="008D392E" w:rsidP="00501DCF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</w:pP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Stanje obveza na kraju izvještajnog razdoblja </w:t>
      </w:r>
      <w:r w:rsidR="004D47A7"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V006</w:t>
      </w: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 iznosi  </w:t>
      </w:r>
      <w:r w:rsidR="004D47A7"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3.360.418.102,51</w:t>
      </w: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  kn </w:t>
      </w:r>
      <w:r w:rsidR="004D47A7"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i nema</w:t>
      </w: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 dospjeli</w:t>
      </w:r>
      <w:r w:rsidR="004D47A7"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h</w:t>
      </w: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 obveza</w:t>
      </w:r>
      <w:r w:rsidR="006772D7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,</w:t>
      </w:r>
      <w:r w:rsidR="004D47A7"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 dok </w:t>
      </w: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nedospjel</w:t>
      </w:r>
      <w:r w:rsidR="004D47A7"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e</w:t>
      </w: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 obvez</w:t>
      </w:r>
      <w:r w:rsidR="004D47A7"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>e iznose V009 3.360.418.102,51</w:t>
      </w:r>
      <w:r w:rsidRPr="003D6E19"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</w:rPr>
        <w:t xml:space="preserve"> kn. </w:t>
      </w:r>
    </w:p>
    <w:p w14:paraId="01AA2A7D" w14:textId="64375D97" w:rsidR="00C272D6" w:rsidRDefault="00033BBE" w:rsidP="00033BBE">
      <w:pPr>
        <w:jc w:val="both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  <w:r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Do povećanja nedospjelih obveza na kraju izvještajnog razdoblja </w:t>
      </w:r>
      <w:r w:rsidR="004D47A7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najvećim dijelom došlo je zbog</w:t>
      </w:r>
      <w:r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obvez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a</w:t>
      </w:r>
      <w:r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za financijsku imovinu 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(</w:t>
      </w:r>
      <w:r w:rsidR="004D47A7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ND 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dio </w:t>
      </w:r>
      <w:r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25,26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)</w:t>
      </w:r>
      <w:r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</w:t>
      </w:r>
      <w:r w:rsidR="004D47A7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koje </w:t>
      </w:r>
      <w:r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iznos</w:t>
      </w:r>
      <w:r w:rsidR="004D47A7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e 3.168.311.420,60 kn. Naime</w:t>
      </w:r>
      <w:r w:rsidR="0078446E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,</w:t>
      </w:r>
      <w:r w:rsidR="004D47A7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upu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t</w:t>
      </w:r>
      <w:r w:rsidR="004D47A7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om Ministarstva finan</w:t>
      </w:r>
      <w:r w:rsidR="0078446E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c</w:t>
      </w:r>
      <w:r w:rsidR="004D47A7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ija 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od 29. prosinca 2022. 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koja se odnosi na „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Knjigovodstvene evidenije provedbe EU financijskih instumenata za razdoblje do 31. prosinca 2019.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godine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“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evidentirali smo na kontu 26142 Obveze za kr</w:t>
      </w:r>
      <w:r w:rsidR="0078446E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e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dite </w:t>
      </w:r>
      <w:r w:rsidR="0078446E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i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zajmove od institucija </w:t>
      </w:r>
      <w:r w:rsidR="0078446E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i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tijela EU – dugoročne</w:t>
      </w:r>
      <w:r w:rsidR="00857EF5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.</w:t>
      </w:r>
      <w:r w:rsidR="004F7DCF" w:rsidRPr="003D6E19"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 xml:space="preserve"> </w:t>
      </w:r>
    </w:p>
    <w:p w14:paraId="3B0E5C7F" w14:textId="77777777" w:rsidR="00DD5B23" w:rsidRDefault="00DD5B23" w:rsidP="00033BBE">
      <w:pPr>
        <w:jc w:val="both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0367BAEB" w14:textId="3D7A7458" w:rsidR="00C272D6" w:rsidRDefault="00C272D6" w:rsidP="00033BBE">
      <w:pPr>
        <w:jc w:val="both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1DCE212F" w14:textId="6038824E" w:rsidR="00C272D6" w:rsidRDefault="00C272D6" w:rsidP="007E6D03">
      <w:pPr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Predsjednik Uprave:</w:t>
      </w:r>
    </w:p>
    <w:p w14:paraId="72EBDBB3" w14:textId="5D585B69" w:rsidR="00C272D6" w:rsidRDefault="00C272D6" w:rsidP="007E6D03">
      <w:pPr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21B7AEE0" w14:textId="017A57F2" w:rsidR="00C272D6" w:rsidRDefault="00C272D6" w:rsidP="007E6D03">
      <w:pPr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_________________</w:t>
      </w:r>
    </w:p>
    <w:p w14:paraId="4D8C8D85" w14:textId="39859159" w:rsidR="00C272D6" w:rsidRPr="00C272D6" w:rsidRDefault="00C272D6" w:rsidP="007E6D03">
      <w:pPr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  <w:t>Vjeran Vrbanec</w:t>
      </w:r>
    </w:p>
    <w:sectPr w:rsidR="00C272D6" w:rsidRPr="00C272D6" w:rsidSect="00F978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5FBC" w14:textId="77777777" w:rsidR="009A27F9" w:rsidRDefault="009A27F9" w:rsidP="00B7622A">
      <w:r>
        <w:separator/>
      </w:r>
    </w:p>
  </w:endnote>
  <w:endnote w:type="continuationSeparator" w:id="0">
    <w:p w14:paraId="7759EC51" w14:textId="77777777" w:rsidR="009A27F9" w:rsidRDefault="009A27F9" w:rsidP="00B7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84A9" w14:textId="77777777" w:rsidR="000D1D2E" w:rsidRPr="000D1D2E" w:rsidRDefault="00273F3D" w:rsidP="004D0D90">
    <w:pPr>
      <w:autoSpaceDE w:val="0"/>
      <w:autoSpaceDN w:val="0"/>
      <w:adjustRightInd w:val="0"/>
      <w:jc w:val="center"/>
      <w:rPr>
        <w:rFonts w:ascii="Optima-Regular" w:hAnsi="Optima-Regular" w:cs="Optima-Regular"/>
        <w:noProof/>
        <w:color w:val="333333"/>
        <w:sz w:val="18"/>
        <w:szCs w:val="18"/>
      </w:rPr>
    </w:pPr>
    <w:r>
      <w:rPr>
        <w:rFonts w:ascii="Optima-Regular" w:hAnsi="Optima-Regular" w:cs="Optima-Regular"/>
        <w:noProof/>
        <w:color w:val="333333"/>
        <w:sz w:val="18"/>
        <w:szCs w:val="18"/>
      </w:rPr>
      <w:t>Ksaver 208</w:t>
    </w:r>
    <w:r w:rsidR="000D1D2E" w:rsidRPr="000D1D2E">
      <w:rPr>
        <w:rFonts w:ascii="Optima-Regular" w:hAnsi="Optima-Regular" w:cs="Optima-Regular"/>
        <w:noProof/>
        <w:color w:val="333333"/>
        <w:sz w:val="18"/>
        <w:szCs w:val="18"/>
      </w:rPr>
      <w:t>, 10000 Zagreb, Hrvatska</w:t>
    </w:r>
  </w:p>
  <w:p w14:paraId="3F5B2056" w14:textId="77777777" w:rsidR="00B7622A" w:rsidRDefault="000D1D2E" w:rsidP="004D0D90">
    <w:pPr>
      <w:autoSpaceDE w:val="0"/>
      <w:autoSpaceDN w:val="0"/>
      <w:adjustRightInd w:val="0"/>
      <w:jc w:val="center"/>
      <w:rPr>
        <w:rFonts w:ascii="Optima-Regular" w:hAnsi="Optima-Regular" w:cs="Optima-Regular"/>
        <w:noProof/>
        <w:color w:val="333333"/>
        <w:sz w:val="18"/>
        <w:szCs w:val="18"/>
      </w:rPr>
    </w:pPr>
    <w:r w:rsidRPr="000D1D2E">
      <w:rPr>
        <w:rFonts w:ascii="Optima-Regular" w:hAnsi="Optima-Regular" w:cs="Optima-Regular"/>
        <w:noProof/>
        <w:color w:val="333333"/>
        <w:sz w:val="18"/>
        <w:szCs w:val="18"/>
      </w:rPr>
      <w:t>tel: +385 1 488 1003, + 385 1 488 1000, fax: +385 1 488 1009</w:t>
    </w:r>
  </w:p>
  <w:p w14:paraId="25F44E06" w14:textId="77777777" w:rsidR="004D0D90" w:rsidRPr="00CB3097" w:rsidRDefault="001000E3" w:rsidP="004D0D90">
    <w:pPr>
      <w:autoSpaceDE w:val="0"/>
      <w:autoSpaceDN w:val="0"/>
      <w:adjustRightInd w:val="0"/>
      <w:jc w:val="center"/>
      <w:rPr>
        <w:rFonts w:ascii="Optima-Regular" w:hAnsi="Optima-Regular" w:cs="Optima-Regular"/>
        <w:noProof/>
        <w:sz w:val="18"/>
        <w:szCs w:val="18"/>
        <w:lang w:val="pt-BR"/>
      </w:rPr>
    </w:pPr>
    <w:r w:rsidRPr="00CB3097">
      <w:rPr>
        <w:rFonts w:ascii="Optima-Regular" w:hAnsi="Optima-Regular" w:cs="Optima-Regular"/>
        <w:noProof/>
        <w:sz w:val="18"/>
        <w:szCs w:val="18"/>
        <w:lang w:val="pt-BR"/>
      </w:rPr>
      <w:t xml:space="preserve">e-mail: </w:t>
    </w:r>
    <w:hyperlink r:id="rId1" w:history="1">
      <w:r w:rsidRPr="00CB3097">
        <w:rPr>
          <w:rStyle w:val="Hyperlink"/>
          <w:rFonts w:ascii="Optima-Regular" w:hAnsi="Optima-Regular" w:cs="Optima-Regular"/>
          <w:noProof/>
          <w:sz w:val="18"/>
          <w:szCs w:val="18"/>
          <w:lang w:val="pt-BR"/>
        </w:rPr>
        <w:t>hamagbicro@hamagbicro.hr</w:t>
      </w:r>
    </w:hyperlink>
    <w:r w:rsidRPr="00CB3097">
      <w:rPr>
        <w:rFonts w:ascii="Optima-Regular" w:hAnsi="Optima-Regular" w:cs="Optima-Regular"/>
        <w:noProof/>
        <w:sz w:val="18"/>
        <w:szCs w:val="18"/>
        <w:lang w:val="pt-BR"/>
      </w:rPr>
      <w:t xml:space="preserve">; </w:t>
    </w:r>
    <w:hyperlink r:id="rId2" w:history="1">
      <w:r w:rsidRPr="00CB3097">
        <w:rPr>
          <w:rStyle w:val="Hyperlink"/>
          <w:rFonts w:ascii="Optima-Regular" w:hAnsi="Optima-Regular" w:cs="Optima-Regular"/>
          <w:noProof/>
          <w:sz w:val="18"/>
          <w:szCs w:val="18"/>
          <w:lang w:val="pt-BR"/>
        </w:rPr>
        <w:t>www.hamagbicro.hr</w:t>
      </w:r>
    </w:hyperlink>
    <w:r w:rsidR="004D0D90" w:rsidRPr="00CB3097">
      <w:rPr>
        <w:rFonts w:ascii="Optima-Regular" w:hAnsi="Optima-Regular" w:cs="Optima-Regular"/>
        <w:noProof/>
        <w:sz w:val="18"/>
        <w:szCs w:val="18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F7A8" w14:textId="77777777" w:rsidR="009A27F9" w:rsidRDefault="009A27F9" w:rsidP="00B7622A">
      <w:r>
        <w:separator/>
      </w:r>
    </w:p>
  </w:footnote>
  <w:footnote w:type="continuationSeparator" w:id="0">
    <w:p w14:paraId="4E765686" w14:textId="77777777" w:rsidR="009A27F9" w:rsidRDefault="009A27F9" w:rsidP="00B7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5420" w14:textId="27236340" w:rsidR="000900F5" w:rsidRDefault="00040045" w:rsidP="008760EB">
    <w:pPr>
      <w:pStyle w:val="Header"/>
      <w:jc w:val="center"/>
    </w:pPr>
    <w:r w:rsidRPr="002C4C45">
      <w:rPr>
        <w:noProof/>
      </w:rPr>
      <w:drawing>
        <wp:inline distT="0" distB="0" distL="0" distR="0" wp14:anchorId="1A0F7C42" wp14:editId="5F1EA6AC">
          <wp:extent cx="2247900" cy="466725"/>
          <wp:effectExtent l="0" t="0" r="0" b="0"/>
          <wp:docPr id="1" name="Picture 1" descr="HAMAG-Bicr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AG-Bicr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1AA"/>
    <w:multiLevelType w:val="hybridMultilevel"/>
    <w:tmpl w:val="3D2AD470"/>
    <w:lvl w:ilvl="0" w:tplc="0688E218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25EE0"/>
    <w:multiLevelType w:val="hybridMultilevel"/>
    <w:tmpl w:val="B2B41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7F1"/>
    <w:multiLevelType w:val="hybridMultilevel"/>
    <w:tmpl w:val="78D4C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5239"/>
    <w:multiLevelType w:val="hybridMultilevel"/>
    <w:tmpl w:val="B2B41E8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152A0F"/>
    <w:multiLevelType w:val="hybridMultilevel"/>
    <w:tmpl w:val="E63AF390"/>
    <w:lvl w:ilvl="0" w:tplc="DF7E700C">
      <w:start w:val="26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4DBA"/>
    <w:multiLevelType w:val="hybridMultilevel"/>
    <w:tmpl w:val="382C5008"/>
    <w:lvl w:ilvl="0" w:tplc="83CA4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637F"/>
    <w:multiLevelType w:val="hybridMultilevel"/>
    <w:tmpl w:val="75465C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24AAA"/>
    <w:multiLevelType w:val="hybridMultilevel"/>
    <w:tmpl w:val="194E4748"/>
    <w:lvl w:ilvl="0" w:tplc="257A0248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5D53656"/>
    <w:multiLevelType w:val="multilevel"/>
    <w:tmpl w:val="743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1F1524"/>
    <w:multiLevelType w:val="hybridMultilevel"/>
    <w:tmpl w:val="9968C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374F4"/>
    <w:multiLevelType w:val="hybridMultilevel"/>
    <w:tmpl w:val="14A8BAAA"/>
    <w:lvl w:ilvl="0" w:tplc="C5722D74">
      <w:numFmt w:val="bullet"/>
      <w:lvlText w:val="-"/>
      <w:lvlJc w:val="left"/>
      <w:pPr>
        <w:ind w:left="121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17A5F2A"/>
    <w:multiLevelType w:val="hybridMultilevel"/>
    <w:tmpl w:val="308E0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63436"/>
    <w:multiLevelType w:val="hybridMultilevel"/>
    <w:tmpl w:val="EC1A6A44"/>
    <w:lvl w:ilvl="0" w:tplc="E2601A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97598"/>
    <w:multiLevelType w:val="multilevel"/>
    <w:tmpl w:val="531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C17A7F"/>
    <w:multiLevelType w:val="hybridMultilevel"/>
    <w:tmpl w:val="B2B41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123B1"/>
    <w:multiLevelType w:val="hybridMultilevel"/>
    <w:tmpl w:val="CC6CD2BC"/>
    <w:lvl w:ilvl="0" w:tplc="344E15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53882">
    <w:abstractNumId w:val="10"/>
  </w:num>
  <w:num w:numId="2" w16cid:durableId="1639533947">
    <w:abstractNumId w:val="6"/>
  </w:num>
  <w:num w:numId="3" w16cid:durableId="1296987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8989382">
    <w:abstractNumId w:val="8"/>
  </w:num>
  <w:num w:numId="5" w16cid:durableId="1723334915">
    <w:abstractNumId w:val="13"/>
  </w:num>
  <w:num w:numId="6" w16cid:durableId="1616251329">
    <w:abstractNumId w:val="15"/>
  </w:num>
  <w:num w:numId="7" w16cid:durableId="560019039">
    <w:abstractNumId w:val="0"/>
  </w:num>
  <w:num w:numId="8" w16cid:durableId="764152017">
    <w:abstractNumId w:val="1"/>
  </w:num>
  <w:num w:numId="9" w16cid:durableId="2084986651">
    <w:abstractNumId w:val="4"/>
  </w:num>
  <w:num w:numId="10" w16cid:durableId="2056006617">
    <w:abstractNumId w:val="3"/>
  </w:num>
  <w:num w:numId="11" w16cid:durableId="913970627">
    <w:abstractNumId w:val="11"/>
  </w:num>
  <w:num w:numId="12" w16cid:durableId="24330980">
    <w:abstractNumId w:val="9"/>
  </w:num>
  <w:num w:numId="13" w16cid:durableId="599261555">
    <w:abstractNumId w:val="2"/>
  </w:num>
  <w:num w:numId="14" w16cid:durableId="129903020">
    <w:abstractNumId w:val="14"/>
  </w:num>
  <w:num w:numId="15" w16cid:durableId="1268733899">
    <w:abstractNumId w:val="12"/>
  </w:num>
  <w:num w:numId="16" w16cid:durableId="1354185937">
    <w:abstractNumId w:val="5"/>
  </w:num>
  <w:num w:numId="17" w16cid:durableId="1486698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2A"/>
    <w:rsid w:val="00002DAC"/>
    <w:rsid w:val="00005BD2"/>
    <w:rsid w:val="00007152"/>
    <w:rsid w:val="00010C9E"/>
    <w:rsid w:val="0001261F"/>
    <w:rsid w:val="00014A1E"/>
    <w:rsid w:val="00014FD1"/>
    <w:rsid w:val="00022C24"/>
    <w:rsid w:val="0002572B"/>
    <w:rsid w:val="0003015C"/>
    <w:rsid w:val="00030973"/>
    <w:rsid w:val="00033BBE"/>
    <w:rsid w:val="00037B5F"/>
    <w:rsid w:val="00040045"/>
    <w:rsid w:val="000419E8"/>
    <w:rsid w:val="00044C29"/>
    <w:rsid w:val="00050387"/>
    <w:rsid w:val="00050F79"/>
    <w:rsid w:val="00057F09"/>
    <w:rsid w:val="00062F89"/>
    <w:rsid w:val="0006539B"/>
    <w:rsid w:val="00067931"/>
    <w:rsid w:val="000726BD"/>
    <w:rsid w:val="00072E9A"/>
    <w:rsid w:val="00073E46"/>
    <w:rsid w:val="000813FE"/>
    <w:rsid w:val="00083AB0"/>
    <w:rsid w:val="00083F63"/>
    <w:rsid w:val="000900F5"/>
    <w:rsid w:val="000902F3"/>
    <w:rsid w:val="000A0444"/>
    <w:rsid w:val="000A0ABC"/>
    <w:rsid w:val="000A2230"/>
    <w:rsid w:val="000A26AA"/>
    <w:rsid w:val="000A6A3C"/>
    <w:rsid w:val="000A700B"/>
    <w:rsid w:val="000B122D"/>
    <w:rsid w:val="000B4270"/>
    <w:rsid w:val="000B4472"/>
    <w:rsid w:val="000B608F"/>
    <w:rsid w:val="000B629D"/>
    <w:rsid w:val="000B743A"/>
    <w:rsid w:val="000C10CC"/>
    <w:rsid w:val="000C6D04"/>
    <w:rsid w:val="000C6DBD"/>
    <w:rsid w:val="000D1D2E"/>
    <w:rsid w:val="000D2289"/>
    <w:rsid w:val="000D3E6E"/>
    <w:rsid w:val="000D4A96"/>
    <w:rsid w:val="000E0A79"/>
    <w:rsid w:val="000E2819"/>
    <w:rsid w:val="000E3B6E"/>
    <w:rsid w:val="000E3F12"/>
    <w:rsid w:val="000E4841"/>
    <w:rsid w:val="000E544A"/>
    <w:rsid w:val="000E751D"/>
    <w:rsid w:val="000F6CB4"/>
    <w:rsid w:val="000F7DAC"/>
    <w:rsid w:val="001000E3"/>
    <w:rsid w:val="001012F9"/>
    <w:rsid w:val="00101EBB"/>
    <w:rsid w:val="001036D8"/>
    <w:rsid w:val="00104A5A"/>
    <w:rsid w:val="00105F7E"/>
    <w:rsid w:val="001143FD"/>
    <w:rsid w:val="001154E6"/>
    <w:rsid w:val="001165A5"/>
    <w:rsid w:val="00117D87"/>
    <w:rsid w:val="0012193A"/>
    <w:rsid w:val="0012389E"/>
    <w:rsid w:val="00127F98"/>
    <w:rsid w:val="00133929"/>
    <w:rsid w:val="00134008"/>
    <w:rsid w:val="00140295"/>
    <w:rsid w:val="001438DD"/>
    <w:rsid w:val="00146DDA"/>
    <w:rsid w:val="001556A0"/>
    <w:rsid w:val="001560DF"/>
    <w:rsid w:val="00156BFE"/>
    <w:rsid w:val="00156C0D"/>
    <w:rsid w:val="00161415"/>
    <w:rsid w:val="001730BC"/>
    <w:rsid w:val="001753E7"/>
    <w:rsid w:val="00176B2A"/>
    <w:rsid w:val="00192D57"/>
    <w:rsid w:val="00193694"/>
    <w:rsid w:val="00193F95"/>
    <w:rsid w:val="001A0C54"/>
    <w:rsid w:val="001A122B"/>
    <w:rsid w:val="001A162F"/>
    <w:rsid w:val="001A4953"/>
    <w:rsid w:val="001B3A4C"/>
    <w:rsid w:val="001C0F8D"/>
    <w:rsid w:val="001C60AC"/>
    <w:rsid w:val="001C7482"/>
    <w:rsid w:val="001D0573"/>
    <w:rsid w:val="001D0AB6"/>
    <w:rsid w:val="001D0AD3"/>
    <w:rsid w:val="001D6CD9"/>
    <w:rsid w:val="001E158C"/>
    <w:rsid w:val="001E2C76"/>
    <w:rsid w:val="001E4F3E"/>
    <w:rsid w:val="001F00F0"/>
    <w:rsid w:val="001F04AA"/>
    <w:rsid w:val="001F6460"/>
    <w:rsid w:val="00202ED1"/>
    <w:rsid w:val="002038F7"/>
    <w:rsid w:val="00203AD5"/>
    <w:rsid w:val="00206052"/>
    <w:rsid w:val="002119F5"/>
    <w:rsid w:val="0021428A"/>
    <w:rsid w:val="0021494B"/>
    <w:rsid w:val="00215A99"/>
    <w:rsid w:val="00220A2E"/>
    <w:rsid w:val="00221C3D"/>
    <w:rsid w:val="00223629"/>
    <w:rsid w:val="0022476D"/>
    <w:rsid w:val="00226592"/>
    <w:rsid w:val="00231172"/>
    <w:rsid w:val="002332B6"/>
    <w:rsid w:val="002355B2"/>
    <w:rsid w:val="00235CF1"/>
    <w:rsid w:val="0023616C"/>
    <w:rsid w:val="00237E77"/>
    <w:rsid w:val="00244AE2"/>
    <w:rsid w:val="0024544B"/>
    <w:rsid w:val="002608C0"/>
    <w:rsid w:val="0026182B"/>
    <w:rsid w:val="0026253A"/>
    <w:rsid w:val="002635DE"/>
    <w:rsid w:val="0026480A"/>
    <w:rsid w:val="00264C35"/>
    <w:rsid w:val="00267CBD"/>
    <w:rsid w:val="00270347"/>
    <w:rsid w:val="00271D14"/>
    <w:rsid w:val="00272B14"/>
    <w:rsid w:val="00273F3D"/>
    <w:rsid w:val="00274BBF"/>
    <w:rsid w:val="00283129"/>
    <w:rsid w:val="00291818"/>
    <w:rsid w:val="00292153"/>
    <w:rsid w:val="0029402F"/>
    <w:rsid w:val="002A3B92"/>
    <w:rsid w:val="002A7E52"/>
    <w:rsid w:val="002B0EE1"/>
    <w:rsid w:val="002B52EB"/>
    <w:rsid w:val="002B538B"/>
    <w:rsid w:val="002B5AEE"/>
    <w:rsid w:val="002B7572"/>
    <w:rsid w:val="002C067D"/>
    <w:rsid w:val="002C1178"/>
    <w:rsid w:val="002C3268"/>
    <w:rsid w:val="002C4C45"/>
    <w:rsid w:val="002D1691"/>
    <w:rsid w:val="002D22F7"/>
    <w:rsid w:val="002D27AB"/>
    <w:rsid w:val="002E04AC"/>
    <w:rsid w:val="002E0A84"/>
    <w:rsid w:val="002E1531"/>
    <w:rsid w:val="002E1800"/>
    <w:rsid w:val="002E2841"/>
    <w:rsid w:val="002E6642"/>
    <w:rsid w:val="002E6AD5"/>
    <w:rsid w:val="002E6E9C"/>
    <w:rsid w:val="002F6009"/>
    <w:rsid w:val="002F6991"/>
    <w:rsid w:val="00305D09"/>
    <w:rsid w:val="00312C49"/>
    <w:rsid w:val="00317E5B"/>
    <w:rsid w:val="00320359"/>
    <w:rsid w:val="003256FF"/>
    <w:rsid w:val="00327981"/>
    <w:rsid w:val="00330833"/>
    <w:rsid w:val="0033084D"/>
    <w:rsid w:val="00332608"/>
    <w:rsid w:val="0033665E"/>
    <w:rsid w:val="0034052F"/>
    <w:rsid w:val="00340CF5"/>
    <w:rsid w:val="0034115E"/>
    <w:rsid w:val="0034725C"/>
    <w:rsid w:val="00366F46"/>
    <w:rsid w:val="00373BBF"/>
    <w:rsid w:val="0037533E"/>
    <w:rsid w:val="00381C0E"/>
    <w:rsid w:val="00381E28"/>
    <w:rsid w:val="00384AC0"/>
    <w:rsid w:val="00387A12"/>
    <w:rsid w:val="003950B2"/>
    <w:rsid w:val="003951B0"/>
    <w:rsid w:val="003962F3"/>
    <w:rsid w:val="003A0791"/>
    <w:rsid w:val="003A17D9"/>
    <w:rsid w:val="003A2CF4"/>
    <w:rsid w:val="003A709B"/>
    <w:rsid w:val="003B4456"/>
    <w:rsid w:val="003B566D"/>
    <w:rsid w:val="003B63C0"/>
    <w:rsid w:val="003C5BEA"/>
    <w:rsid w:val="003C674F"/>
    <w:rsid w:val="003C6CDD"/>
    <w:rsid w:val="003D2976"/>
    <w:rsid w:val="003D3A53"/>
    <w:rsid w:val="003D5542"/>
    <w:rsid w:val="003D6E19"/>
    <w:rsid w:val="003D7F2D"/>
    <w:rsid w:val="003E2F38"/>
    <w:rsid w:val="003F3FCB"/>
    <w:rsid w:val="003F5EED"/>
    <w:rsid w:val="004005B5"/>
    <w:rsid w:val="00400A96"/>
    <w:rsid w:val="004024A8"/>
    <w:rsid w:val="0040300B"/>
    <w:rsid w:val="004045A1"/>
    <w:rsid w:val="004076C3"/>
    <w:rsid w:val="0041168A"/>
    <w:rsid w:val="00415B0C"/>
    <w:rsid w:val="00421844"/>
    <w:rsid w:val="00422B7B"/>
    <w:rsid w:val="004241F5"/>
    <w:rsid w:val="004241F8"/>
    <w:rsid w:val="004256A3"/>
    <w:rsid w:val="00426621"/>
    <w:rsid w:val="004267F9"/>
    <w:rsid w:val="0043112C"/>
    <w:rsid w:val="004332C2"/>
    <w:rsid w:val="0043366D"/>
    <w:rsid w:val="0043747D"/>
    <w:rsid w:val="00440219"/>
    <w:rsid w:val="004407F2"/>
    <w:rsid w:val="0044158D"/>
    <w:rsid w:val="00443E62"/>
    <w:rsid w:val="00444ECB"/>
    <w:rsid w:val="0044529D"/>
    <w:rsid w:val="004478AC"/>
    <w:rsid w:val="004508CB"/>
    <w:rsid w:val="0045254B"/>
    <w:rsid w:val="004542BD"/>
    <w:rsid w:val="00454913"/>
    <w:rsid w:val="004638A7"/>
    <w:rsid w:val="0047624D"/>
    <w:rsid w:val="00476EC2"/>
    <w:rsid w:val="00477376"/>
    <w:rsid w:val="00480B5A"/>
    <w:rsid w:val="00480EA9"/>
    <w:rsid w:val="00484DF2"/>
    <w:rsid w:val="00485746"/>
    <w:rsid w:val="00487088"/>
    <w:rsid w:val="004952F5"/>
    <w:rsid w:val="004962F3"/>
    <w:rsid w:val="0049681B"/>
    <w:rsid w:val="00496CFB"/>
    <w:rsid w:val="00496E07"/>
    <w:rsid w:val="004A01E5"/>
    <w:rsid w:val="004A64D0"/>
    <w:rsid w:val="004A76D0"/>
    <w:rsid w:val="004B4171"/>
    <w:rsid w:val="004B5B3F"/>
    <w:rsid w:val="004B5C6C"/>
    <w:rsid w:val="004C25FE"/>
    <w:rsid w:val="004C3F7B"/>
    <w:rsid w:val="004C73B4"/>
    <w:rsid w:val="004C73E7"/>
    <w:rsid w:val="004D0506"/>
    <w:rsid w:val="004D071F"/>
    <w:rsid w:val="004D0D90"/>
    <w:rsid w:val="004D47A7"/>
    <w:rsid w:val="004E00CC"/>
    <w:rsid w:val="004E52B5"/>
    <w:rsid w:val="004E649A"/>
    <w:rsid w:val="004E73E1"/>
    <w:rsid w:val="004F11B8"/>
    <w:rsid w:val="004F2464"/>
    <w:rsid w:val="004F3114"/>
    <w:rsid w:val="004F7DCF"/>
    <w:rsid w:val="00501DCF"/>
    <w:rsid w:val="00502DB6"/>
    <w:rsid w:val="0051082C"/>
    <w:rsid w:val="00511F81"/>
    <w:rsid w:val="00512839"/>
    <w:rsid w:val="005164AC"/>
    <w:rsid w:val="00520152"/>
    <w:rsid w:val="0052161E"/>
    <w:rsid w:val="00530DCE"/>
    <w:rsid w:val="00532BD2"/>
    <w:rsid w:val="00534EF6"/>
    <w:rsid w:val="00535BB6"/>
    <w:rsid w:val="00536E2B"/>
    <w:rsid w:val="005403B3"/>
    <w:rsid w:val="00546947"/>
    <w:rsid w:val="0055009D"/>
    <w:rsid w:val="00550C18"/>
    <w:rsid w:val="0055288F"/>
    <w:rsid w:val="00556299"/>
    <w:rsid w:val="00560803"/>
    <w:rsid w:val="00561594"/>
    <w:rsid w:val="0056626F"/>
    <w:rsid w:val="005740E3"/>
    <w:rsid w:val="00574468"/>
    <w:rsid w:val="00577184"/>
    <w:rsid w:val="00577291"/>
    <w:rsid w:val="00580746"/>
    <w:rsid w:val="00580DE4"/>
    <w:rsid w:val="005826E3"/>
    <w:rsid w:val="00584610"/>
    <w:rsid w:val="005873B0"/>
    <w:rsid w:val="00592E3F"/>
    <w:rsid w:val="00593366"/>
    <w:rsid w:val="00593D06"/>
    <w:rsid w:val="005976D2"/>
    <w:rsid w:val="0059794F"/>
    <w:rsid w:val="005A4F75"/>
    <w:rsid w:val="005A560E"/>
    <w:rsid w:val="005A6AD3"/>
    <w:rsid w:val="005B2EBC"/>
    <w:rsid w:val="005C655A"/>
    <w:rsid w:val="005D2F9D"/>
    <w:rsid w:val="005D758E"/>
    <w:rsid w:val="005E03F9"/>
    <w:rsid w:val="005E05D5"/>
    <w:rsid w:val="005F0659"/>
    <w:rsid w:val="005F4B8C"/>
    <w:rsid w:val="00600564"/>
    <w:rsid w:val="00601B0F"/>
    <w:rsid w:val="00601B52"/>
    <w:rsid w:val="00601CBF"/>
    <w:rsid w:val="00602644"/>
    <w:rsid w:val="00610221"/>
    <w:rsid w:val="00610948"/>
    <w:rsid w:val="00610C2B"/>
    <w:rsid w:val="006119EE"/>
    <w:rsid w:val="00613797"/>
    <w:rsid w:val="006165E6"/>
    <w:rsid w:val="00620BAA"/>
    <w:rsid w:val="00621AF4"/>
    <w:rsid w:val="00622C3C"/>
    <w:rsid w:val="0062329E"/>
    <w:rsid w:val="006253D8"/>
    <w:rsid w:val="00634A0A"/>
    <w:rsid w:val="00637470"/>
    <w:rsid w:val="006402FB"/>
    <w:rsid w:val="00640EBB"/>
    <w:rsid w:val="00640FDC"/>
    <w:rsid w:val="00641BDA"/>
    <w:rsid w:val="0064265B"/>
    <w:rsid w:val="006520CF"/>
    <w:rsid w:val="006562D2"/>
    <w:rsid w:val="006616F2"/>
    <w:rsid w:val="00665779"/>
    <w:rsid w:val="006670F6"/>
    <w:rsid w:val="0067042F"/>
    <w:rsid w:val="00671FA6"/>
    <w:rsid w:val="0067229A"/>
    <w:rsid w:val="00676744"/>
    <w:rsid w:val="006772D7"/>
    <w:rsid w:val="00680484"/>
    <w:rsid w:val="006823F1"/>
    <w:rsid w:val="006848E5"/>
    <w:rsid w:val="00684F0A"/>
    <w:rsid w:val="00687126"/>
    <w:rsid w:val="00690CEE"/>
    <w:rsid w:val="0069108D"/>
    <w:rsid w:val="006912EC"/>
    <w:rsid w:val="00692B65"/>
    <w:rsid w:val="006943EC"/>
    <w:rsid w:val="00697F38"/>
    <w:rsid w:val="006A16BE"/>
    <w:rsid w:val="006A2698"/>
    <w:rsid w:val="006A341E"/>
    <w:rsid w:val="006A6756"/>
    <w:rsid w:val="006A68AD"/>
    <w:rsid w:val="006A6B72"/>
    <w:rsid w:val="006B1494"/>
    <w:rsid w:val="006B40AB"/>
    <w:rsid w:val="006B608E"/>
    <w:rsid w:val="006B7797"/>
    <w:rsid w:val="006C0B3D"/>
    <w:rsid w:val="006C368A"/>
    <w:rsid w:val="006D16EB"/>
    <w:rsid w:val="006D5800"/>
    <w:rsid w:val="006E4982"/>
    <w:rsid w:val="006E55A1"/>
    <w:rsid w:val="006E60CE"/>
    <w:rsid w:val="006E6A49"/>
    <w:rsid w:val="006E71B5"/>
    <w:rsid w:val="006F273C"/>
    <w:rsid w:val="007015D9"/>
    <w:rsid w:val="00702B81"/>
    <w:rsid w:val="00702BFD"/>
    <w:rsid w:val="00714B95"/>
    <w:rsid w:val="0071759A"/>
    <w:rsid w:val="00720296"/>
    <w:rsid w:val="0072256D"/>
    <w:rsid w:val="00722D00"/>
    <w:rsid w:val="00723FAF"/>
    <w:rsid w:val="00731907"/>
    <w:rsid w:val="0073231E"/>
    <w:rsid w:val="007342B9"/>
    <w:rsid w:val="00736D92"/>
    <w:rsid w:val="0074329F"/>
    <w:rsid w:val="0074593D"/>
    <w:rsid w:val="007461FC"/>
    <w:rsid w:val="00747082"/>
    <w:rsid w:val="00755822"/>
    <w:rsid w:val="007575D6"/>
    <w:rsid w:val="00760B22"/>
    <w:rsid w:val="007621FE"/>
    <w:rsid w:val="00764DF0"/>
    <w:rsid w:val="00764EE3"/>
    <w:rsid w:val="00765897"/>
    <w:rsid w:val="00766164"/>
    <w:rsid w:val="00767541"/>
    <w:rsid w:val="00767BF1"/>
    <w:rsid w:val="007706E9"/>
    <w:rsid w:val="00780C14"/>
    <w:rsid w:val="00782859"/>
    <w:rsid w:val="0078446E"/>
    <w:rsid w:val="00784C18"/>
    <w:rsid w:val="00784DCB"/>
    <w:rsid w:val="007868D0"/>
    <w:rsid w:val="0079089A"/>
    <w:rsid w:val="00791156"/>
    <w:rsid w:val="00791409"/>
    <w:rsid w:val="00792ED3"/>
    <w:rsid w:val="0079355A"/>
    <w:rsid w:val="00795CDE"/>
    <w:rsid w:val="007A6210"/>
    <w:rsid w:val="007A71FD"/>
    <w:rsid w:val="007B0149"/>
    <w:rsid w:val="007B3401"/>
    <w:rsid w:val="007B38EF"/>
    <w:rsid w:val="007C2469"/>
    <w:rsid w:val="007D02BA"/>
    <w:rsid w:val="007D34EB"/>
    <w:rsid w:val="007D3B86"/>
    <w:rsid w:val="007D4F16"/>
    <w:rsid w:val="007D535F"/>
    <w:rsid w:val="007E4470"/>
    <w:rsid w:val="007E48D1"/>
    <w:rsid w:val="007E6156"/>
    <w:rsid w:val="007E6D03"/>
    <w:rsid w:val="007F2A58"/>
    <w:rsid w:val="007F3533"/>
    <w:rsid w:val="00800514"/>
    <w:rsid w:val="008025B5"/>
    <w:rsid w:val="00802C37"/>
    <w:rsid w:val="0080357F"/>
    <w:rsid w:val="00804751"/>
    <w:rsid w:val="00804786"/>
    <w:rsid w:val="008063D1"/>
    <w:rsid w:val="00811999"/>
    <w:rsid w:val="00815245"/>
    <w:rsid w:val="0081735D"/>
    <w:rsid w:val="00821D0B"/>
    <w:rsid w:val="00822D34"/>
    <w:rsid w:val="00822EAA"/>
    <w:rsid w:val="00824105"/>
    <w:rsid w:val="00835608"/>
    <w:rsid w:val="008424B7"/>
    <w:rsid w:val="008443E8"/>
    <w:rsid w:val="008447C2"/>
    <w:rsid w:val="008449E2"/>
    <w:rsid w:val="00844D1F"/>
    <w:rsid w:val="0085007B"/>
    <w:rsid w:val="00850F75"/>
    <w:rsid w:val="008510C5"/>
    <w:rsid w:val="0085191E"/>
    <w:rsid w:val="00857EF5"/>
    <w:rsid w:val="00862A83"/>
    <w:rsid w:val="0086567A"/>
    <w:rsid w:val="00865984"/>
    <w:rsid w:val="008715AC"/>
    <w:rsid w:val="008734F5"/>
    <w:rsid w:val="0087607A"/>
    <w:rsid w:val="008760EB"/>
    <w:rsid w:val="00880D02"/>
    <w:rsid w:val="0088138A"/>
    <w:rsid w:val="00882AA6"/>
    <w:rsid w:val="0088413E"/>
    <w:rsid w:val="00885497"/>
    <w:rsid w:val="0089569F"/>
    <w:rsid w:val="008972F4"/>
    <w:rsid w:val="008B17B9"/>
    <w:rsid w:val="008B3893"/>
    <w:rsid w:val="008B521E"/>
    <w:rsid w:val="008B677F"/>
    <w:rsid w:val="008B70A8"/>
    <w:rsid w:val="008B7DD4"/>
    <w:rsid w:val="008C2814"/>
    <w:rsid w:val="008C5425"/>
    <w:rsid w:val="008C550B"/>
    <w:rsid w:val="008C597C"/>
    <w:rsid w:val="008C735B"/>
    <w:rsid w:val="008D2BC6"/>
    <w:rsid w:val="008D392E"/>
    <w:rsid w:val="008E032F"/>
    <w:rsid w:val="008E54C9"/>
    <w:rsid w:val="008E6301"/>
    <w:rsid w:val="008E6DDB"/>
    <w:rsid w:val="008E6E94"/>
    <w:rsid w:val="008F0DBF"/>
    <w:rsid w:val="008F206A"/>
    <w:rsid w:val="008F5DA7"/>
    <w:rsid w:val="00900218"/>
    <w:rsid w:val="00901719"/>
    <w:rsid w:val="009039E6"/>
    <w:rsid w:val="00904C7C"/>
    <w:rsid w:val="009170AD"/>
    <w:rsid w:val="00920EBF"/>
    <w:rsid w:val="009231AB"/>
    <w:rsid w:val="00927C8C"/>
    <w:rsid w:val="009305C3"/>
    <w:rsid w:val="00933D8A"/>
    <w:rsid w:val="009356D4"/>
    <w:rsid w:val="009365E7"/>
    <w:rsid w:val="0093757E"/>
    <w:rsid w:val="009375E4"/>
    <w:rsid w:val="00942E03"/>
    <w:rsid w:val="00943B6D"/>
    <w:rsid w:val="009472AE"/>
    <w:rsid w:val="009475B1"/>
    <w:rsid w:val="00950AB6"/>
    <w:rsid w:val="00950B60"/>
    <w:rsid w:val="00956ACC"/>
    <w:rsid w:val="009608F3"/>
    <w:rsid w:val="009640D1"/>
    <w:rsid w:val="009641ED"/>
    <w:rsid w:val="009654BF"/>
    <w:rsid w:val="00971AF2"/>
    <w:rsid w:val="00973054"/>
    <w:rsid w:val="00990213"/>
    <w:rsid w:val="00990C1A"/>
    <w:rsid w:val="00994782"/>
    <w:rsid w:val="00997EB3"/>
    <w:rsid w:val="009A0B78"/>
    <w:rsid w:val="009A0D6B"/>
    <w:rsid w:val="009A0DB2"/>
    <w:rsid w:val="009A27F9"/>
    <w:rsid w:val="009A326C"/>
    <w:rsid w:val="009A3F96"/>
    <w:rsid w:val="009A58E2"/>
    <w:rsid w:val="009B160B"/>
    <w:rsid w:val="009B4BE9"/>
    <w:rsid w:val="009B67F2"/>
    <w:rsid w:val="009C0D77"/>
    <w:rsid w:val="009C1423"/>
    <w:rsid w:val="009C35FA"/>
    <w:rsid w:val="009C72CB"/>
    <w:rsid w:val="009D1E42"/>
    <w:rsid w:val="009D1E8C"/>
    <w:rsid w:val="009D4704"/>
    <w:rsid w:val="009D4A4C"/>
    <w:rsid w:val="009D6B3D"/>
    <w:rsid w:val="009D787E"/>
    <w:rsid w:val="009E3A2E"/>
    <w:rsid w:val="009E3F74"/>
    <w:rsid w:val="009E45DA"/>
    <w:rsid w:val="009E4B3C"/>
    <w:rsid w:val="009E7ED8"/>
    <w:rsid w:val="00A01BEB"/>
    <w:rsid w:val="00A02BE0"/>
    <w:rsid w:val="00A13A43"/>
    <w:rsid w:val="00A15964"/>
    <w:rsid w:val="00A1651A"/>
    <w:rsid w:val="00A21F36"/>
    <w:rsid w:val="00A2259B"/>
    <w:rsid w:val="00A235A6"/>
    <w:rsid w:val="00A24D36"/>
    <w:rsid w:val="00A26DB9"/>
    <w:rsid w:val="00A45C2C"/>
    <w:rsid w:val="00A513EB"/>
    <w:rsid w:val="00A51E53"/>
    <w:rsid w:val="00A52F5F"/>
    <w:rsid w:val="00A5471D"/>
    <w:rsid w:val="00A561FC"/>
    <w:rsid w:val="00A5638F"/>
    <w:rsid w:val="00A57597"/>
    <w:rsid w:val="00A61BAF"/>
    <w:rsid w:val="00A641E8"/>
    <w:rsid w:val="00A650CE"/>
    <w:rsid w:val="00A67759"/>
    <w:rsid w:val="00A754C2"/>
    <w:rsid w:val="00A75BDD"/>
    <w:rsid w:val="00A76483"/>
    <w:rsid w:val="00A85B64"/>
    <w:rsid w:val="00A86E95"/>
    <w:rsid w:val="00A9217E"/>
    <w:rsid w:val="00A929F9"/>
    <w:rsid w:val="00A96361"/>
    <w:rsid w:val="00A97FE8"/>
    <w:rsid w:val="00AA13A9"/>
    <w:rsid w:val="00AA44D4"/>
    <w:rsid w:val="00AA4926"/>
    <w:rsid w:val="00AA6EDF"/>
    <w:rsid w:val="00AB143F"/>
    <w:rsid w:val="00AB4919"/>
    <w:rsid w:val="00AC291E"/>
    <w:rsid w:val="00AC5143"/>
    <w:rsid w:val="00AC518D"/>
    <w:rsid w:val="00AC5200"/>
    <w:rsid w:val="00AC5624"/>
    <w:rsid w:val="00AC5E39"/>
    <w:rsid w:val="00AD4770"/>
    <w:rsid w:val="00AD5D8A"/>
    <w:rsid w:val="00AD5FEB"/>
    <w:rsid w:val="00AF104D"/>
    <w:rsid w:val="00AF1082"/>
    <w:rsid w:val="00AF30C5"/>
    <w:rsid w:val="00AF463C"/>
    <w:rsid w:val="00AF468E"/>
    <w:rsid w:val="00B00F09"/>
    <w:rsid w:val="00B03B96"/>
    <w:rsid w:val="00B03DFB"/>
    <w:rsid w:val="00B11457"/>
    <w:rsid w:val="00B11623"/>
    <w:rsid w:val="00B15BB4"/>
    <w:rsid w:val="00B23208"/>
    <w:rsid w:val="00B236A4"/>
    <w:rsid w:val="00B23DC6"/>
    <w:rsid w:val="00B245DF"/>
    <w:rsid w:val="00B265F7"/>
    <w:rsid w:val="00B27017"/>
    <w:rsid w:val="00B27F91"/>
    <w:rsid w:val="00B310FF"/>
    <w:rsid w:val="00B34932"/>
    <w:rsid w:val="00B349B3"/>
    <w:rsid w:val="00B42DF7"/>
    <w:rsid w:val="00B4320B"/>
    <w:rsid w:val="00B50204"/>
    <w:rsid w:val="00B52B09"/>
    <w:rsid w:val="00B5590E"/>
    <w:rsid w:val="00B600EF"/>
    <w:rsid w:val="00B610BA"/>
    <w:rsid w:val="00B659F4"/>
    <w:rsid w:val="00B67DB8"/>
    <w:rsid w:val="00B7119F"/>
    <w:rsid w:val="00B711CA"/>
    <w:rsid w:val="00B74801"/>
    <w:rsid w:val="00B7622A"/>
    <w:rsid w:val="00B8098A"/>
    <w:rsid w:val="00B9351D"/>
    <w:rsid w:val="00B94805"/>
    <w:rsid w:val="00B97B9F"/>
    <w:rsid w:val="00BA0DAD"/>
    <w:rsid w:val="00BA1843"/>
    <w:rsid w:val="00BA549E"/>
    <w:rsid w:val="00BA5C33"/>
    <w:rsid w:val="00BA79AF"/>
    <w:rsid w:val="00BB0101"/>
    <w:rsid w:val="00BB285C"/>
    <w:rsid w:val="00BB306F"/>
    <w:rsid w:val="00BC117F"/>
    <w:rsid w:val="00BC2C0F"/>
    <w:rsid w:val="00BC319F"/>
    <w:rsid w:val="00BC5EF4"/>
    <w:rsid w:val="00BD152D"/>
    <w:rsid w:val="00BD1CB6"/>
    <w:rsid w:val="00BD236A"/>
    <w:rsid w:val="00BD441D"/>
    <w:rsid w:val="00BE0586"/>
    <w:rsid w:val="00BE6CE2"/>
    <w:rsid w:val="00BE798A"/>
    <w:rsid w:val="00BE7B39"/>
    <w:rsid w:val="00BF10AC"/>
    <w:rsid w:val="00BF13F7"/>
    <w:rsid w:val="00BF233F"/>
    <w:rsid w:val="00BF3C8C"/>
    <w:rsid w:val="00BF4407"/>
    <w:rsid w:val="00BF4876"/>
    <w:rsid w:val="00BF4B0E"/>
    <w:rsid w:val="00BF64DD"/>
    <w:rsid w:val="00C006FC"/>
    <w:rsid w:val="00C01F2A"/>
    <w:rsid w:val="00C02E6E"/>
    <w:rsid w:val="00C038D3"/>
    <w:rsid w:val="00C03DB9"/>
    <w:rsid w:val="00C054E4"/>
    <w:rsid w:val="00C073F9"/>
    <w:rsid w:val="00C11FAC"/>
    <w:rsid w:val="00C13DBB"/>
    <w:rsid w:val="00C149AC"/>
    <w:rsid w:val="00C1674C"/>
    <w:rsid w:val="00C16A4F"/>
    <w:rsid w:val="00C16AF0"/>
    <w:rsid w:val="00C176ED"/>
    <w:rsid w:val="00C17EBF"/>
    <w:rsid w:val="00C25738"/>
    <w:rsid w:val="00C25B14"/>
    <w:rsid w:val="00C272D6"/>
    <w:rsid w:val="00C30FA9"/>
    <w:rsid w:val="00C32242"/>
    <w:rsid w:val="00C322F2"/>
    <w:rsid w:val="00C32BD0"/>
    <w:rsid w:val="00C34B0D"/>
    <w:rsid w:val="00C359F8"/>
    <w:rsid w:val="00C35BB2"/>
    <w:rsid w:val="00C422FE"/>
    <w:rsid w:val="00C42BE6"/>
    <w:rsid w:val="00C473A5"/>
    <w:rsid w:val="00C56D86"/>
    <w:rsid w:val="00C56FB9"/>
    <w:rsid w:val="00C60F22"/>
    <w:rsid w:val="00C62295"/>
    <w:rsid w:val="00C635B2"/>
    <w:rsid w:val="00C75D94"/>
    <w:rsid w:val="00C82619"/>
    <w:rsid w:val="00C826A4"/>
    <w:rsid w:val="00C826C8"/>
    <w:rsid w:val="00C90747"/>
    <w:rsid w:val="00C90D65"/>
    <w:rsid w:val="00C92E74"/>
    <w:rsid w:val="00C949F3"/>
    <w:rsid w:val="00C9633E"/>
    <w:rsid w:val="00C96B7D"/>
    <w:rsid w:val="00CA0349"/>
    <w:rsid w:val="00CA0CC5"/>
    <w:rsid w:val="00CA342D"/>
    <w:rsid w:val="00CA3ECC"/>
    <w:rsid w:val="00CA4DF0"/>
    <w:rsid w:val="00CA59F1"/>
    <w:rsid w:val="00CA5ECF"/>
    <w:rsid w:val="00CA61EE"/>
    <w:rsid w:val="00CA6790"/>
    <w:rsid w:val="00CA70F3"/>
    <w:rsid w:val="00CB1A7A"/>
    <w:rsid w:val="00CB1BEC"/>
    <w:rsid w:val="00CB3097"/>
    <w:rsid w:val="00CB4992"/>
    <w:rsid w:val="00CB4F7D"/>
    <w:rsid w:val="00CB5523"/>
    <w:rsid w:val="00CC2AF8"/>
    <w:rsid w:val="00CC3897"/>
    <w:rsid w:val="00CC5471"/>
    <w:rsid w:val="00CC5799"/>
    <w:rsid w:val="00CC6B95"/>
    <w:rsid w:val="00CC6FE6"/>
    <w:rsid w:val="00CD1118"/>
    <w:rsid w:val="00CD4558"/>
    <w:rsid w:val="00CD5ABC"/>
    <w:rsid w:val="00CE469B"/>
    <w:rsid w:val="00CE6706"/>
    <w:rsid w:val="00CE7F78"/>
    <w:rsid w:val="00CF06D1"/>
    <w:rsid w:val="00CF26E7"/>
    <w:rsid w:val="00CF2B97"/>
    <w:rsid w:val="00CF3216"/>
    <w:rsid w:val="00CF4456"/>
    <w:rsid w:val="00D02390"/>
    <w:rsid w:val="00D03008"/>
    <w:rsid w:val="00D057D3"/>
    <w:rsid w:val="00D10632"/>
    <w:rsid w:val="00D11763"/>
    <w:rsid w:val="00D13B23"/>
    <w:rsid w:val="00D17750"/>
    <w:rsid w:val="00D17789"/>
    <w:rsid w:val="00D2258F"/>
    <w:rsid w:val="00D22DDC"/>
    <w:rsid w:val="00D3150E"/>
    <w:rsid w:val="00D33821"/>
    <w:rsid w:val="00D34DB5"/>
    <w:rsid w:val="00D37E2C"/>
    <w:rsid w:val="00D40FAE"/>
    <w:rsid w:val="00D415B3"/>
    <w:rsid w:val="00D42A8C"/>
    <w:rsid w:val="00D45672"/>
    <w:rsid w:val="00D46F11"/>
    <w:rsid w:val="00D53991"/>
    <w:rsid w:val="00D5518F"/>
    <w:rsid w:val="00D570C9"/>
    <w:rsid w:val="00D575B5"/>
    <w:rsid w:val="00D73671"/>
    <w:rsid w:val="00D73883"/>
    <w:rsid w:val="00D76C32"/>
    <w:rsid w:val="00D77C4D"/>
    <w:rsid w:val="00D8299D"/>
    <w:rsid w:val="00D82CAC"/>
    <w:rsid w:val="00D82E42"/>
    <w:rsid w:val="00D84476"/>
    <w:rsid w:val="00D84BE1"/>
    <w:rsid w:val="00D85397"/>
    <w:rsid w:val="00D86C74"/>
    <w:rsid w:val="00D93362"/>
    <w:rsid w:val="00D94F03"/>
    <w:rsid w:val="00D95D10"/>
    <w:rsid w:val="00DA213D"/>
    <w:rsid w:val="00DA46D5"/>
    <w:rsid w:val="00DA736B"/>
    <w:rsid w:val="00DB2B52"/>
    <w:rsid w:val="00DB3C18"/>
    <w:rsid w:val="00DB54BF"/>
    <w:rsid w:val="00DC0AE8"/>
    <w:rsid w:val="00DC5E3F"/>
    <w:rsid w:val="00DC700D"/>
    <w:rsid w:val="00DD3D02"/>
    <w:rsid w:val="00DD5B23"/>
    <w:rsid w:val="00DD61C6"/>
    <w:rsid w:val="00DD6813"/>
    <w:rsid w:val="00DD7E5A"/>
    <w:rsid w:val="00DE0DA2"/>
    <w:rsid w:val="00DE3EE8"/>
    <w:rsid w:val="00DE5C0F"/>
    <w:rsid w:val="00DE5C83"/>
    <w:rsid w:val="00DF0A3A"/>
    <w:rsid w:val="00DF18A6"/>
    <w:rsid w:val="00DF672C"/>
    <w:rsid w:val="00DF6B03"/>
    <w:rsid w:val="00E00EDB"/>
    <w:rsid w:val="00E01088"/>
    <w:rsid w:val="00E05210"/>
    <w:rsid w:val="00E05F92"/>
    <w:rsid w:val="00E1135C"/>
    <w:rsid w:val="00E1487F"/>
    <w:rsid w:val="00E21C7D"/>
    <w:rsid w:val="00E232E5"/>
    <w:rsid w:val="00E23D46"/>
    <w:rsid w:val="00E27AB4"/>
    <w:rsid w:val="00E27DF3"/>
    <w:rsid w:val="00E313FB"/>
    <w:rsid w:val="00E3169A"/>
    <w:rsid w:val="00E33522"/>
    <w:rsid w:val="00E347B3"/>
    <w:rsid w:val="00E34C79"/>
    <w:rsid w:val="00E47B72"/>
    <w:rsid w:val="00E47FD0"/>
    <w:rsid w:val="00E51408"/>
    <w:rsid w:val="00E5510F"/>
    <w:rsid w:val="00E55E2C"/>
    <w:rsid w:val="00E6144E"/>
    <w:rsid w:val="00E63359"/>
    <w:rsid w:val="00E67412"/>
    <w:rsid w:val="00E6743C"/>
    <w:rsid w:val="00E67487"/>
    <w:rsid w:val="00E676A3"/>
    <w:rsid w:val="00E67AA3"/>
    <w:rsid w:val="00E70DB6"/>
    <w:rsid w:val="00E717B2"/>
    <w:rsid w:val="00E71E96"/>
    <w:rsid w:val="00E7442F"/>
    <w:rsid w:val="00E807A0"/>
    <w:rsid w:val="00E82B21"/>
    <w:rsid w:val="00E8310B"/>
    <w:rsid w:val="00E84EC8"/>
    <w:rsid w:val="00E855F2"/>
    <w:rsid w:val="00E8667E"/>
    <w:rsid w:val="00E94EF1"/>
    <w:rsid w:val="00EA4361"/>
    <w:rsid w:val="00EB2AA0"/>
    <w:rsid w:val="00EC0740"/>
    <w:rsid w:val="00EC0ED0"/>
    <w:rsid w:val="00EC1880"/>
    <w:rsid w:val="00EC2CCA"/>
    <w:rsid w:val="00EC4A29"/>
    <w:rsid w:val="00EC63B7"/>
    <w:rsid w:val="00ED44ED"/>
    <w:rsid w:val="00ED6556"/>
    <w:rsid w:val="00ED6588"/>
    <w:rsid w:val="00EE3278"/>
    <w:rsid w:val="00EE37ED"/>
    <w:rsid w:val="00EE3C8A"/>
    <w:rsid w:val="00EE5576"/>
    <w:rsid w:val="00EE5F1A"/>
    <w:rsid w:val="00EF0866"/>
    <w:rsid w:val="00EF19A5"/>
    <w:rsid w:val="00EF2459"/>
    <w:rsid w:val="00EF2C09"/>
    <w:rsid w:val="00EF2D8F"/>
    <w:rsid w:val="00EF7189"/>
    <w:rsid w:val="00EF73FF"/>
    <w:rsid w:val="00F00B84"/>
    <w:rsid w:val="00F05F96"/>
    <w:rsid w:val="00F1214D"/>
    <w:rsid w:val="00F12C1C"/>
    <w:rsid w:val="00F136C5"/>
    <w:rsid w:val="00F136DC"/>
    <w:rsid w:val="00F13AC2"/>
    <w:rsid w:val="00F23226"/>
    <w:rsid w:val="00F2341E"/>
    <w:rsid w:val="00F32CDD"/>
    <w:rsid w:val="00F353DA"/>
    <w:rsid w:val="00F35A5F"/>
    <w:rsid w:val="00F3766A"/>
    <w:rsid w:val="00F40EFA"/>
    <w:rsid w:val="00F41176"/>
    <w:rsid w:val="00F41FBD"/>
    <w:rsid w:val="00F43795"/>
    <w:rsid w:val="00F43DB9"/>
    <w:rsid w:val="00F4469C"/>
    <w:rsid w:val="00F4560D"/>
    <w:rsid w:val="00F46F96"/>
    <w:rsid w:val="00F55FEB"/>
    <w:rsid w:val="00F56D74"/>
    <w:rsid w:val="00F62BFC"/>
    <w:rsid w:val="00F70938"/>
    <w:rsid w:val="00F71003"/>
    <w:rsid w:val="00F73232"/>
    <w:rsid w:val="00F74695"/>
    <w:rsid w:val="00F75675"/>
    <w:rsid w:val="00F76987"/>
    <w:rsid w:val="00F8213B"/>
    <w:rsid w:val="00F822B5"/>
    <w:rsid w:val="00F85BE0"/>
    <w:rsid w:val="00F90A31"/>
    <w:rsid w:val="00F90CC5"/>
    <w:rsid w:val="00F92251"/>
    <w:rsid w:val="00F93CFB"/>
    <w:rsid w:val="00F97838"/>
    <w:rsid w:val="00FA27DC"/>
    <w:rsid w:val="00FA306F"/>
    <w:rsid w:val="00FA3D45"/>
    <w:rsid w:val="00FA53F8"/>
    <w:rsid w:val="00FA6FB4"/>
    <w:rsid w:val="00FA7009"/>
    <w:rsid w:val="00FB1303"/>
    <w:rsid w:val="00FB155A"/>
    <w:rsid w:val="00FB3678"/>
    <w:rsid w:val="00FC08AC"/>
    <w:rsid w:val="00FC0F65"/>
    <w:rsid w:val="00FC7AA1"/>
    <w:rsid w:val="00FD112B"/>
    <w:rsid w:val="00FD19BB"/>
    <w:rsid w:val="00FD3ABA"/>
    <w:rsid w:val="00FD4B9A"/>
    <w:rsid w:val="00FD5500"/>
    <w:rsid w:val="00FD5A5D"/>
    <w:rsid w:val="00FD6070"/>
    <w:rsid w:val="00FD7946"/>
    <w:rsid w:val="00FE0CC6"/>
    <w:rsid w:val="00FE0E59"/>
    <w:rsid w:val="00FE1CBB"/>
    <w:rsid w:val="00FE24A0"/>
    <w:rsid w:val="00FF0D97"/>
    <w:rsid w:val="00FF2529"/>
    <w:rsid w:val="00FF2D71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F5040"/>
  <w15:chartTrackingRefBased/>
  <w15:docId w15:val="{20C55E9F-B088-4597-A720-7C70DECC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D1"/>
    <w:rPr>
      <w:rFonts w:eastAsiaTheme="minorHAnsi" w:cs="Calibri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2F5F"/>
    <w:pPr>
      <w:keepNext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22A"/>
    <w:pPr>
      <w:tabs>
        <w:tab w:val="center" w:pos="4536"/>
        <w:tab w:val="right" w:pos="9072"/>
      </w:tabs>
    </w:pPr>
    <w:rPr>
      <w:rFonts w:eastAsia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B7622A"/>
  </w:style>
  <w:style w:type="paragraph" w:styleId="Footer">
    <w:name w:val="footer"/>
    <w:basedOn w:val="Normal"/>
    <w:link w:val="FooterChar"/>
    <w:uiPriority w:val="99"/>
    <w:unhideWhenUsed/>
    <w:rsid w:val="00B7622A"/>
    <w:pPr>
      <w:tabs>
        <w:tab w:val="center" w:pos="4536"/>
        <w:tab w:val="right" w:pos="9072"/>
      </w:tabs>
    </w:pPr>
    <w:rPr>
      <w:rFonts w:eastAsia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B7622A"/>
  </w:style>
  <w:style w:type="paragraph" w:styleId="BalloonText">
    <w:name w:val="Balloon Text"/>
    <w:basedOn w:val="Normal"/>
    <w:link w:val="BalloonTextChar"/>
    <w:uiPriority w:val="99"/>
    <w:semiHidden/>
    <w:unhideWhenUsed/>
    <w:rsid w:val="00B762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762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D0D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265F7"/>
    <w:pPr>
      <w:ind w:left="720"/>
    </w:pPr>
    <w:rPr>
      <w:rFonts w:eastAsia="Calibri"/>
      <w:lang w:val="hr-HR" w:eastAsia="hr-HR"/>
    </w:rPr>
  </w:style>
  <w:style w:type="paragraph" w:customStyle="1" w:styleId="Default">
    <w:name w:val="Default"/>
    <w:rsid w:val="008972F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5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F3FC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6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D86"/>
    <w:pPr>
      <w:spacing w:after="200"/>
    </w:pPr>
    <w:rPr>
      <w:rFonts w:eastAsia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D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D86"/>
    <w:rPr>
      <w:b/>
      <w:bCs/>
      <w:lang w:eastAsia="en-US"/>
    </w:rPr>
  </w:style>
  <w:style w:type="character" w:customStyle="1" w:styleId="fontstyle01">
    <w:name w:val="fontstyle01"/>
    <w:basedOn w:val="DefaultParagraphFont"/>
    <w:rsid w:val="00D3150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A52F5F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magbicro.hr" TargetMode="External"/><Relationship Id="rId1" Type="http://schemas.openxmlformats.org/officeDocument/2006/relationships/hyperlink" Target="mailto:hamagbicro@hamagbicr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14E6-F7AF-4593-AEA5-4867FCDB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2467</Words>
  <Characters>14064</Characters>
  <Application>Microsoft Office Word</Application>
  <DocSecurity>0</DocSecurity>
  <Lines>117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16499</CharactersWithSpaces>
  <SharedDoc>false</SharedDoc>
  <HLinks>
    <vt:vector size="12" baseType="variant">
      <vt:variant>
        <vt:i4>917590</vt:i4>
      </vt:variant>
      <vt:variant>
        <vt:i4>3</vt:i4>
      </vt:variant>
      <vt:variant>
        <vt:i4>0</vt:i4>
      </vt:variant>
      <vt:variant>
        <vt:i4>5</vt:i4>
      </vt:variant>
      <vt:variant>
        <vt:lpwstr>http://www.hamagbicro.hr/</vt:lpwstr>
      </vt:variant>
      <vt:variant>
        <vt:lpwstr/>
      </vt:variant>
      <vt:variant>
        <vt:i4>6094963</vt:i4>
      </vt:variant>
      <vt:variant>
        <vt:i4>0</vt:i4>
      </vt:variant>
      <vt:variant>
        <vt:i4>0</vt:i4>
      </vt:variant>
      <vt:variant>
        <vt:i4>5</vt:i4>
      </vt:variant>
      <vt:variant>
        <vt:lpwstr>mailto:hamagbicro@hamagbicro.hr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hmadunic</dc:creator>
  <cp:keywords/>
  <cp:lastModifiedBy>Dario  Kordić</cp:lastModifiedBy>
  <cp:revision>59</cp:revision>
  <cp:lastPrinted>2018-01-30T13:50:00Z</cp:lastPrinted>
  <dcterms:created xsi:type="dcterms:W3CDTF">2023-01-30T12:46:00Z</dcterms:created>
  <dcterms:modified xsi:type="dcterms:W3CDTF">2023-02-06T06:31:00Z</dcterms:modified>
</cp:coreProperties>
</file>